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36369758"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850CD0">
          <w:rPr>
            <w:noProof/>
            <w:webHidden/>
          </w:rPr>
          <w:t>4</w:t>
        </w:r>
        <w:r w:rsidR="00DD3144">
          <w:rPr>
            <w:noProof/>
            <w:webHidden/>
          </w:rPr>
          <w:fldChar w:fldCharType="end"/>
        </w:r>
      </w:hyperlink>
    </w:p>
    <w:p w14:paraId="649DCDC2" w14:textId="5599EA0A"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850CD0">
          <w:rPr>
            <w:noProof/>
            <w:webHidden/>
          </w:rPr>
          <w:t>9</w:t>
        </w:r>
        <w:r>
          <w:rPr>
            <w:noProof/>
            <w:webHidden/>
          </w:rPr>
          <w:fldChar w:fldCharType="end"/>
        </w:r>
      </w:hyperlink>
    </w:p>
    <w:p w14:paraId="14EB7B59" w14:textId="7D70EAC6"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850CD0">
          <w:rPr>
            <w:noProof/>
            <w:webHidden/>
          </w:rPr>
          <w:t>9</w:t>
        </w:r>
        <w:r>
          <w:rPr>
            <w:noProof/>
            <w:webHidden/>
          </w:rPr>
          <w:fldChar w:fldCharType="end"/>
        </w:r>
      </w:hyperlink>
    </w:p>
    <w:p w14:paraId="28E7C014" w14:textId="3E1CD031"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850CD0">
          <w:rPr>
            <w:noProof/>
            <w:webHidden/>
          </w:rPr>
          <w:t>14</w:t>
        </w:r>
        <w:r>
          <w:rPr>
            <w:noProof/>
            <w:webHidden/>
          </w:rPr>
          <w:fldChar w:fldCharType="end"/>
        </w:r>
      </w:hyperlink>
    </w:p>
    <w:p w14:paraId="5DC08253" w14:textId="2797E8CA"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850CD0">
          <w:rPr>
            <w:noProof/>
            <w:webHidden/>
          </w:rPr>
          <w:t>26</w:t>
        </w:r>
        <w:r>
          <w:rPr>
            <w:noProof/>
            <w:webHidden/>
          </w:rPr>
          <w:fldChar w:fldCharType="end"/>
        </w:r>
      </w:hyperlink>
    </w:p>
    <w:p w14:paraId="3D5499CC" w14:textId="34E6C761"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850CD0">
          <w:rPr>
            <w:noProof/>
            <w:webHidden/>
          </w:rPr>
          <w:t>28</w:t>
        </w:r>
        <w:r>
          <w:rPr>
            <w:noProof/>
            <w:webHidden/>
          </w:rPr>
          <w:fldChar w:fldCharType="end"/>
        </w:r>
      </w:hyperlink>
    </w:p>
    <w:p w14:paraId="719CF34F" w14:textId="67C0C7B6"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850CD0">
          <w:rPr>
            <w:noProof/>
            <w:webHidden/>
          </w:rPr>
          <w:t>28</w:t>
        </w:r>
        <w:r>
          <w:rPr>
            <w:noProof/>
            <w:webHidden/>
          </w:rPr>
          <w:fldChar w:fldCharType="end"/>
        </w:r>
      </w:hyperlink>
    </w:p>
    <w:p w14:paraId="2D2F137D" w14:textId="334960C6"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850CD0">
          <w:rPr>
            <w:noProof/>
            <w:webHidden/>
          </w:rPr>
          <w:t>33</w:t>
        </w:r>
        <w:r>
          <w:rPr>
            <w:noProof/>
            <w:webHidden/>
          </w:rPr>
          <w:fldChar w:fldCharType="end"/>
        </w:r>
      </w:hyperlink>
    </w:p>
    <w:p w14:paraId="020B6A92" w14:textId="5AE53C15"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850CD0">
          <w:rPr>
            <w:noProof/>
            <w:webHidden/>
          </w:rPr>
          <w:t>33</w:t>
        </w:r>
        <w:r>
          <w:rPr>
            <w:noProof/>
            <w:webHidden/>
          </w:rPr>
          <w:fldChar w:fldCharType="end"/>
        </w:r>
      </w:hyperlink>
    </w:p>
    <w:p w14:paraId="0B041372" w14:textId="2E6F9382"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850CD0">
          <w:rPr>
            <w:noProof/>
            <w:webHidden/>
          </w:rPr>
          <w:t>34</w:t>
        </w:r>
        <w:r>
          <w:rPr>
            <w:noProof/>
            <w:webHidden/>
          </w:rPr>
          <w:fldChar w:fldCharType="end"/>
        </w:r>
      </w:hyperlink>
    </w:p>
    <w:p w14:paraId="366ABCEE" w14:textId="4493699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850CD0">
          <w:rPr>
            <w:noProof/>
            <w:webHidden/>
          </w:rPr>
          <w:t>37</w:t>
        </w:r>
        <w:r>
          <w:rPr>
            <w:noProof/>
            <w:webHidden/>
          </w:rPr>
          <w:fldChar w:fldCharType="end"/>
        </w:r>
      </w:hyperlink>
    </w:p>
    <w:p w14:paraId="37DECFFE" w14:textId="3D1BD05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850CD0">
          <w:rPr>
            <w:noProof/>
            <w:webHidden/>
          </w:rPr>
          <w:t>39</w:t>
        </w:r>
        <w:r>
          <w:rPr>
            <w:noProof/>
            <w:webHidden/>
          </w:rPr>
          <w:fldChar w:fldCharType="end"/>
        </w:r>
      </w:hyperlink>
    </w:p>
    <w:p w14:paraId="79DE1026" w14:textId="7B73128D"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850CD0">
          <w:rPr>
            <w:noProof/>
            <w:webHidden/>
          </w:rPr>
          <w:t>41</w:t>
        </w:r>
        <w:r>
          <w:rPr>
            <w:noProof/>
            <w:webHidden/>
          </w:rPr>
          <w:fldChar w:fldCharType="end"/>
        </w:r>
      </w:hyperlink>
    </w:p>
    <w:p w14:paraId="571E6994" w14:textId="58AA33B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850CD0">
          <w:rPr>
            <w:noProof/>
            <w:webHidden/>
          </w:rPr>
          <w:t>41</w:t>
        </w:r>
        <w:r>
          <w:rPr>
            <w:noProof/>
            <w:webHidden/>
          </w:rPr>
          <w:fldChar w:fldCharType="end"/>
        </w:r>
      </w:hyperlink>
    </w:p>
    <w:p w14:paraId="44C542A2" w14:textId="4F2F43D1"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850CD0">
          <w:rPr>
            <w:noProof/>
            <w:webHidden/>
          </w:rPr>
          <w:t>46</w:t>
        </w:r>
        <w:r>
          <w:rPr>
            <w:noProof/>
            <w:webHidden/>
          </w:rPr>
          <w:fldChar w:fldCharType="end"/>
        </w:r>
      </w:hyperlink>
    </w:p>
    <w:p w14:paraId="5E9A21F5" w14:textId="189A2ED0"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850CD0">
          <w:rPr>
            <w:noProof/>
            <w:webHidden/>
          </w:rPr>
          <w:t>49</w:t>
        </w:r>
        <w:r>
          <w:rPr>
            <w:noProof/>
            <w:webHidden/>
          </w:rPr>
          <w:fldChar w:fldCharType="end"/>
        </w:r>
      </w:hyperlink>
    </w:p>
    <w:p w14:paraId="5A159D6D" w14:textId="7801E56D"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850CD0">
          <w:rPr>
            <w:noProof/>
            <w:webHidden/>
          </w:rPr>
          <w:t>50</w:t>
        </w:r>
        <w:r>
          <w:rPr>
            <w:noProof/>
            <w:webHidden/>
          </w:rPr>
          <w:fldChar w:fldCharType="end"/>
        </w:r>
      </w:hyperlink>
    </w:p>
    <w:p w14:paraId="0A454E3F" w14:textId="485B8B1A"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850CD0">
          <w:rPr>
            <w:noProof/>
            <w:webHidden/>
          </w:rPr>
          <w:t>51</w:t>
        </w:r>
        <w:r>
          <w:rPr>
            <w:noProof/>
            <w:webHidden/>
          </w:rPr>
          <w:fldChar w:fldCharType="end"/>
        </w:r>
      </w:hyperlink>
    </w:p>
    <w:p w14:paraId="1FD76CBA" w14:textId="063191C4"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850CD0">
          <w:rPr>
            <w:noProof/>
            <w:webHidden/>
          </w:rPr>
          <w:t>51</w:t>
        </w:r>
        <w:r>
          <w:rPr>
            <w:noProof/>
            <w:webHidden/>
          </w:rPr>
          <w:fldChar w:fldCharType="end"/>
        </w:r>
      </w:hyperlink>
    </w:p>
    <w:p w14:paraId="2672EAFF" w14:textId="5BB74C05"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850CD0">
          <w:rPr>
            <w:noProof/>
            <w:webHidden/>
          </w:rPr>
          <w:t>52</w:t>
        </w:r>
        <w:r>
          <w:rPr>
            <w:noProof/>
            <w:webHidden/>
          </w:rPr>
          <w:fldChar w:fldCharType="end"/>
        </w:r>
      </w:hyperlink>
    </w:p>
    <w:p w14:paraId="21AE00CB" w14:textId="0045E384"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850CD0">
          <w:rPr>
            <w:noProof/>
            <w:webHidden/>
          </w:rPr>
          <w:t>53</w:t>
        </w:r>
        <w:r>
          <w:rPr>
            <w:noProof/>
            <w:webHidden/>
          </w:rPr>
          <w:fldChar w:fldCharType="end"/>
        </w:r>
      </w:hyperlink>
    </w:p>
    <w:p w14:paraId="2B614284" w14:textId="7229D41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850CD0">
          <w:rPr>
            <w:noProof/>
            <w:webHidden/>
          </w:rPr>
          <w:t>54</w:t>
        </w:r>
        <w:r>
          <w:rPr>
            <w:noProof/>
            <w:webHidden/>
          </w:rPr>
          <w:fldChar w:fldCharType="end"/>
        </w:r>
      </w:hyperlink>
    </w:p>
    <w:p w14:paraId="4D418277" w14:textId="05DD2A5D"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850CD0">
          <w:rPr>
            <w:noProof/>
            <w:webHidden/>
          </w:rPr>
          <w:t>57</w:t>
        </w:r>
        <w:r>
          <w:rPr>
            <w:noProof/>
            <w:webHidden/>
          </w:rPr>
          <w:fldChar w:fldCharType="end"/>
        </w:r>
      </w:hyperlink>
    </w:p>
    <w:p w14:paraId="6536F821" w14:textId="22335AC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850CD0">
          <w:rPr>
            <w:noProof/>
            <w:webHidden/>
          </w:rPr>
          <w:t>57</w:t>
        </w:r>
        <w:r>
          <w:rPr>
            <w:noProof/>
            <w:webHidden/>
          </w:rPr>
          <w:fldChar w:fldCharType="end"/>
        </w:r>
      </w:hyperlink>
    </w:p>
    <w:p w14:paraId="08D9EF38" w14:textId="37F53A80"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850CD0">
          <w:rPr>
            <w:noProof/>
            <w:webHidden/>
          </w:rPr>
          <w:t>62</w:t>
        </w:r>
        <w:r>
          <w:rPr>
            <w:noProof/>
            <w:webHidden/>
          </w:rPr>
          <w:fldChar w:fldCharType="end"/>
        </w:r>
      </w:hyperlink>
    </w:p>
    <w:p w14:paraId="2BBAFA08" w14:textId="768041D6"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850CD0">
          <w:rPr>
            <w:noProof/>
            <w:webHidden/>
          </w:rPr>
          <w:t>63</w:t>
        </w:r>
        <w:r>
          <w:rPr>
            <w:noProof/>
            <w:webHidden/>
          </w:rPr>
          <w:fldChar w:fldCharType="end"/>
        </w:r>
      </w:hyperlink>
    </w:p>
    <w:p w14:paraId="3F16D1B5" w14:textId="652AE70F"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850CD0">
          <w:rPr>
            <w:noProof/>
            <w:webHidden/>
          </w:rPr>
          <w:t>65</w:t>
        </w:r>
        <w:r>
          <w:rPr>
            <w:noProof/>
            <w:webHidden/>
          </w:rPr>
          <w:fldChar w:fldCharType="end"/>
        </w:r>
      </w:hyperlink>
    </w:p>
    <w:p w14:paraId="6977ED8F" w14:textId="22D4AD6D"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850CD0">
          <w:rPr>
            <w:noProof/>
            <w:webHidden/>
          </w:rPr>
          <w:t>65</w:t>
        </w:r>
        <w:r>
          <w:rPr>
            <w:noProof/>
            <w:webHidden/>
          </w:rPr>
          <w:fldChar w:fldCharType="end"/>
        </w:r>
      </w:hyperlink>
    </w:p>
    <w:p w14:paraId="38E17ADD" w14:textId="3610C8C5"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850CD0">
          <w:rPr>
            <w:noProof/>
            <w:webHidden/>
          </w:rPr>
          <w:t>69</w:t>
        </w:r>
        <w:r>
          <w:rPr>
            <w:noProof/>
            <w:webHidden/>
          </w:rPr>
          <w:fldChar w:fldCharType="end"/>
        </w:r>
      </w:hyperlink>
    </w:p>
    <w:p w14:paraId="3D334A0D" w14:textId="51D1D991"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850CD0">
          <w:rPr>
            <w:noProof/>
            <w:webHidden/>
          </w:rPr>
          <w:t>72</w:t>
        </w:r>
        <w:r>
          <w:rPr>
            <w:noProof/>
            <w:webHidden/>
          </w:rPr>
          <w:fldChar w:fldCharType="end"/>
        </w:r>
      </w:hyperlink>
    </w:p>
    <w:p w14:paraId="73AC9F6C" w14:textId="2A08657B"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850CD0">
          <w:rPr>
            <w:noProof/>
            <w:webHidden/>
          </w:rPr>
          <w:t>73</w:t>
        </w:r>
        <w:r>
          <w:rPr>
            <w:noProof/>
            <w:webHidden/>
          </w:rPr>
          <w:fldChar w:fldCharType="end"/>
        </w:r>
      </w:hyperlink>
    </w:p>
    <w:p w14:paraId="406CF61C" w14:textId="2684B04E"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850CD0">
          <w:rPr>
            <w:noProof/>
            <w:webHidden/>
          </w:rPr>
          <w:t>75</w:t>
        </w:r>
        <w:r>
          <w:rPr>
            <w:noProof/>
            <w:webHidden/>
          </w:rPr>
          <w:fldChar w:fldCharType="end"/>
        </w:r>
      </w:hyperlink>
    </w:p>
    <w:p w14:paraId="2F2A5E06" w14:textId="18170A5F"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850CD0">
          <w:rPr>
            <w:noProof/>
            <w:webHidden/>
          </w:rPr>
          <w:t>75</w:t>
        </w:r>
        <w:r>
          <w:rPr>
            <w:noProof/>
            <w:webHidden/>
          </w:rPr>
          <w:fldChar w:fldCharType="end"/>
        </w:r>
      </w:hyperlink>
    </w:p>
    <w:p w14:paraId="0765DB75" w14:textId="58D4073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850CD0">
          <w:rPr>
            <w:noProof/>
            <w:webHidden/>
          </w:rPr>
          <w:t>80</w:t>
        </w:r>
        <w:r>
          <w:rPr>
            <w:noProof/>
            <w:webHidden/>
          </w:rPr>
          <w:fldChar w:fldCharType="end"/>
        </w:r>
      </w:hyperlink>
    </w:p>
    <w:p w14:paraId="69A0D1B9" w14:textId="157691DC"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850CD0">
          <w:rPr>
            <w:noProof/>
            <w:webHidden/>
          </w:rPr>
          <w:t>82</w:t>
        </w:r>
        <w:r>
          <w:rPr>
            <w:noProof/>
            <w:webHidden/>
          </w:rPr>
          <w:fldChar w:fldCharType="end"/>
        </w:r>
      </w:hyperlink>
    </w:p>
    <w:p w14:paraId="599A8537" w14:textId="53EF561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850CD0">
          <w:rPr>
            <w:noProof/>
            <w:webHidden/>
          </w:rPr>
          <w:t>84</w:t>
        </w:r>
        <w:r>
          <w:rPr>
            <w:noProof/>
            <w:webHidden/>
          </w:rPr>
          <w:fldChar w:fldCharType="end"/>
        </w:r>
      </w:hyperlink>
    </w:p>
    <w:p w14:paraId="17F5751C" w14:textId="1D6E8BC9"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850CD0">
          <w:rPr>
            <w:noProof/>
            <w:webHidden/>
          </w:rPr>
          <w:t>87</w:t>
        </w:r>
        <w:r>
          <w:rPr>
            <w:noProof/>
            <w:webHidden/>
          </w:rPr>
          <w:fldChar w:fldCharType="end"/>
        </w:r>
      </w:hyperlink>
    </w:p>
    <w:p w14:paraId="3E9A7CC0" w14:textId="46ED3123"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850CD0">
          <w:rPr>
            <w:noProof/>
            <w:webHidden/>
          </w:rPr>
          <w:t>89</w:t>
        </w:r>
        <w:r>
          <w:rPr>
            <w:noProof/>
            <w:webHidden/>
          </w:rPr>
          <w:fldChar w:fldCharType="end"/>
        </w:r>
      </w:hyperlink>
    </w:p>
    <w:p w14:paraId="47B0B9D3" w14:textId="7F060F3A"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850CD0">
          <w:rPr>
            <w:noProof/>
            <w:webHidden/>
          </w:rPr>
          <w:t>91</w:t>
        </w:r>
        <w:r>
          <w:rPr>
            <w:noProof/>
            <w:webHidden/>
          </w:rPr>
          <w:fldChar w:fldCharType="end"/>
        </w:r>
      </w:hyperlink>
    </w:p>
    <w:p w14:paraId="61D5B8F4" w14:textId="0D6A21C1"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850CD0">
          <w:rPr>
            <w:noProof/>
            <w:webHidden/>
          </w:rPr>
          <w:t>91</w:t>
        </w:r>
        <w:r>
          <w:rPr>
            <w:noProof/>
            <w:webHidden/>
          </w:rPr>
          <w:fldChar w:fldCharType="end"/>
        </w:r>
      </w:hyperlink>
    </w:p>
    <w:p w14:paraId="5F2558A8" w14:textId="2B1F60EA"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850CD0">
          <w:rPr>
            <w:noProof/>
            <w:webHidden/>
          </w:rPr>
          <w:t>95</w:t>
        </w:r>
        <w:r>
          <w:rPr>
            <w:noProof/>
            <w:webHidden/>
          </w:rPr>
          <w:fldChar w:fldCharType="end"/>
        </w:r>
      </w:hyperlink>
    </w:p>
    <w:p w14:paraId="36C71413" w14:textId="3A5000FC"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850CD0">
          <w:rPr>
            <w:noProof/>
            <w:webHidden/>
          </w:rPr>
          <w:t>98</w:t>
        </w:r>
        <w:r>
          <w:rPr>
            <w:noProof/>
            <w:webHidden/>
          </w:rPr>
          <w:fldChar w:fldCharType="end"/>
        </w:r>
      </w:hyperlink>
    </w:p>
    <w:p w14:paraId="0E59FE16" w14:textId="56638A3E"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850CD0">
          <w:rPr>
            <w:noProof/>
            <w:webHidden/>
          </w:rPr>
          <w:t>99</w:t>
        </w:r>
        <w:r>
          <w:rPr>
            <w:noProof/>
            <w:webHidden/>
          </w:rPr>
          <w:fldChar w:fldCharType="end"/>
        </w:r>
      </w:hyperlink>
    </w:p>
    <w:p w14:paraId="2D755C06" w14:textId="04029E64"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850CD0">
          <w:rPr>
            <w:noProof/>
            <w:webHidden/>
          </w:rPr>
          <w:t>99</w:t>
        </w:r>
        <w:r>
          <w:rPr>
            <w:noProof/>
            <w:webHidden/>
          </w:rPr>
          <w:fldChar w:fldCharType="end"/>
        </w:r>
      </w:hyperlink>
    </w:p>
    <w:p w14:paraId="0A581758" w14:textId="05CE9E30"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850CD0">
          <w:rPr>
            <w:noProof/>
            <w:webHidden/>
          </w:rPr>
          <w:t>107</w:t>
        </w:r>
        <w:r>
          <w:rPr>
            <w:noProof/>
            <w:webHidden/>
          </w:rPr>
          <w:fldChar w:fldCharType="end"/>
        </w:r>
      </w:hyperlink>
    </w:p>
    <w:p w14:paraId="7084312E" w14:textId="5E58E4C0"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850CD0">
          <w:rPr>
            <w:noProof/>
            <w:webHidden/>
          </w:rPr>
          <w:t>108</w:t>
        </w:r>
        <w:r>
          <w:rPr>
            <w:noProof/>
            <w:webHidden/>
          </w:rPr>
          <w:fldChar w:fldCharType="end"/>
        </w:r>
      </w:hyperlink>
    </w:p>
    <w:p w14:paraId="1A5FA3FB" w14:textId="7A98CFE2"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850CD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BA7E1D0" w:rsidR="00093CA9" w:rsidRDefault="003A48E1" w:rsidP="00093CA9">
            <w:r w:rsidRPr="003A48E1">
              <w:t>Battery Waste Management Rules, 2022 (as amended)</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8B1F3A0" w14:textId="0319DBCA" w:rsidR="00093CA9" w:rsidRDefault="00202B65" w:rsidP="001C6B64">
            <w:pPr>
              <w:pStyle w:val="ListParagraph"/>
              <w:numPr>
                <w:ilvl w:val="0"/>
                <w:numId w:val="51"/>
              </w:numPr>
            </w:pPr>
            <w:hyperlink r:id="rId17" w:history="1">
              <w:r w:rsidRPr="001C6B64">
                <w:rPr>
                  <w:rStyle w:val="Hyperlink"/>
                </w:rPr>
                <w:t>Battery</w:t>
              </w:r>
              <w:r w:rsidRPr="00202B65">
                <w:rPr>
                  <w:rStyle w:val="Hyperlink"/>
                </w:rPr>
                <w:t xml:space="preserve"> Waste Management Rules, 2022 (as amended)</w:t>
              </w:r>
            </w:hyperlink>
          </w:p>
          <w:p w14:paraId="3FBEEB9D" w14:textId="0EA7F998" w:rsidR="00862D59" w:rsidRDefault="00862D59" w:rsidP="001C6B64">
            <w:pPr>
              <w:pStyle w:val="ListParagraph"/>
              <w:numPr>
                <w:ilvl w:val="0"/>
                <w:numId w:val="51"/>
              </w:numPr>
              <w:ind w:left="727" w:hanging="367"/>
            </w:pPr>
            <w:hyperlink r:id="rId18" w:history="1">
              <w:r w:rsidRPr="00862D59">
                <w:rPr>
                  <w:rStyle w:val="Hyperlink"/>
                </w:rPr>
                <w:t>Guidelines for Environment compensation (EC)</w:t>
              </w:r>
            </w:hyperlink>
            <w:r w:rsidRPr="00862D59">
              <w:t xml:space="preserve"> </w:t>
            </w:r>
          </w:p>
          <w:p w14:paraId="1523C232" w14:textId="433E05A1" w:rsidR="00862D59" w:rsidRDefault="00862D59" w:rsidP="001C6B64">
            <w:pPr>
              <w:pStyle w:val="ListParagraph"/>
              <w:numPr>
                <w:ilvl w:val="0"/>
                <w:numId w:val="51"/>
              </w:numPr>
            </w:pPr>
            <w:hyperlink r:id="rId19" w:history="1">
              <w:r w:rsidRPr="00862D59">
                <w:rPr>
                  <w:rStyle w:val="Hyperlink"/>
                </w:rPr>
                <w:t>Standard Operating Procedure for Registration of Producers</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2B5D7DA" w:rsidR="00093CA9" w:rsidRDefault="00CD063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980BA7E" w:rsidR="00093CA9" w:rsidRDefault="00D4358A" w:rsidP="00D4358A">
            <w:r>
              <w:t xml:space="preserve">The policy tool mandates Extended Producer Responsibility (EPR) for every producer, making them responsible for environmentally sound management of </w:t>
            </w:r>
            <w:r w:rsidR="00FF4B93">
              <w:t>w</w:t>
            </w:r>
            <w:r>
              <w:t xml:space="preserve">aste </w:t>
            </w:r>
            <w:r w:rsidR="00FF4B93">
              <w:t>b</w:t>
            </w:r>
            <w:r>
              <w:t xml:space="preserve">attery in a manner </w:t>
            </w:r>
            <w:r w:rsidR="00880B04">
              <w:t>which</w:t>
            </w:r>
            <w:r>
              <w:t xml:space="preserve"> protect</w:t>
            </w:r>
            <w:r w:rsidR="00880B04">
              <w:t>s</w:t>
            </w:r>
            <w:r>
              <w:t xml:space="preserve"> human health and environment against any adverse effects, which may result from any substance contained in </w:t>
            </w:r>
            <w:r w:rsidR="00FF4B93">
              <w:t>w</w:t>
            </w:r>
            <w:r>
              <w:t xml:space="preserve">aste </w:t>
            </w:r>
            <w:r w:rsidR="00FF4B93">
              <w:t>b</w:t>
            </w:r>
            <w:r>
              <w:t xml:space="preserve">attery. These may include </w:t>
            </w:r>
            <w:r w:rsidR="00AF75DB" w:rsidRPr="00AF75DB">
              <w:t xml:space="preserve">collection, segregation, transportation </w:t>
            </w:r>
            <w:r>
              <w:t>refurbishment, and/or recycling</w:t>
            </w:r>
            <w:r w:rsidR="00AF75DB">
              <w:t xml:space="preserve"> of waste battery</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2C1CDD0" w:rsidR="00093CA9" w:rsidRDefault="009B446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79E9849" w:rsidR="00093CA9" w:rsidRPr="00173D7C" w:rsidRDefault="009B4468"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EEC80C2" w:rsidR="00093CA9" w:rsidRPr="00173D7C" w:rsidRDefault="009B4468" w:rsidP="00093CA9">
            <w:pPr>
              <w:rPr>
                <w:color w:val="000000" w:themeColor="text1"/>
              </w:rPr>
            </w:pPr>
            <w:r>
              <w:rPr>
                <w:color w:val="000000" w:themeColor="text1"/>
              </w:rPr>
              <w:t>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A7F6477" w:rsidR="00093CA9" w:rsidRPr="00587FAE" w:rsidRDefault="009B4468" w:rsidP="001C6B64">
            <w:pPr>
              <w:jc w:val="both"/>
              <w:rPr>
                <w:color w:val="000000" w:themeColor="text1"/>
              </w:rPr>
            </w:pPr>
            <w:r w:rsidRPr="009B4468">
              <w:rPr>
                <w:color w:val="000000" w:themeColor="text1"/>
              </w:rPr>
              <w:t xml:space="preserve">The </w:t>
            </w:r>
            <w:r>
              <w:rPr>
                <w:color w:val="000000" w:themeColor="text1"/>
              </w:rPr>
              <w:t>policy tool</w:t>
            </w:r>
            <w:r w:rsidRPr="009B4468">
              <w:rPr>
                <w:color w:val="000000" w:themeColor="text1"/>
              </w:rPr>
              <w:t xml:space="preserve"> </w:t>
            </w:r>
            <w:r w:rsidR="0033147C">
              <w:rPr>
                <w:color w:val="000000" w:themeColor="text1"/>
              </w:rPr>
              <w:t xml:space="preserve">was notified </w:t>
            </w:r>
            <w:r w:rsidRPr="009B4468">
              <w:rPr>
                <w:color w:val="000000" w:themeColor="text1"/>
              </w:rPr>
              <w:t xml:space="preserve">as a whole on the date of publication. However, specific obligations, such as waste battery collection targets and minimum recycled content targets, are phased in over several financial years, with different start dates and escalating percentages depending on the </w:t>
            </w:r>
            <w:r w:rsidR="007629A5">
              <w:rPr>
                <w:color w:val="000000" w:themeColor="text1"/>
              </w:rPr>
              <w:t>kind (</w:t>
            </w:r>
            <w:r w:rsidR="007629A5" w:rsidRPr="007629A5">
              <w:rPr>
                <w:color w:val="000000" w:themeColor="text1"/>
              </w:rPr>
              <w:t>viz. Lead acid, Li-Ion, Nickel Cadmium,</w:t>
            </w:r>
            <w:r w:rsidR="007629A5">
              <w:rPr>
                <w:color w:val="000000" w:themeColor="text1"/>
              </w:rPr>
              <w:t xml:space="preserve"> </w:t>
            </w:r>
            <w:r w:rsidR="007629A5" w:rsidRPr="007629A5">
              <w:rPr>
                <w:color w:val="000000" w:themeColor="text1"/>
              </w:rPr>
              <w:t>Zinc based Battery, etc.)</w:t>
            </w:r>
            <w:r w:rsidR="007629A5">
              <w:rPr>
                <w:color w:val="000000" w:themeColor="text1"/>
              </w:rPr>
              <w:t xml:space="preserve"> within each </w:t>
            </w:r>
            <w:r w:rsidRPr="009B4468">
              <w:rPr>
                <w:color w:val="000000" w:themeColor="text1"/>
              </w:rPr>
              <w:t>type of battery</w:t>
            </w:r>
            <w:r w:rsidR="007629A5">
              <w:rPr>
                <w:color w:val="000000" w:themeColor="text1"/>
              </w:rPr>
              <w:t xml:space="preserve"> (like </w:t>
            </w:r>
            <w:r w:rsidR="007629A5" w:rsidRPr="007629A5">
              <w:rPr>
                <w:color w:val="000000" w:themeColor="text1"/>
              </w:rPr>
              <w:t>portable,</w:t>
            </w:r>
            <w:r w:rsidR="007629A5">
              <w:rPr>
                <w:color w:val="000000" w:themeColor="text1"/>
              </w:rPr>
              <w:t xml:space="preserve"> </w:t>
            </w:r>
            <w:r w:rsidR="007629A5" w:rsidRPr="007629A5">
              <w:rPr>
                <w:color w:val="000000" w:themeColor="text1"/>
              </w:rPr>
              <w:t xml:space="preserve">automotive, industrial and electric vehicle </w:t>
            </w:r>
            <w:r w:rsidR="007629A5">
              <w:rPr>
                <w:color w:val="000000" w:themeColor="text1"/>
              </w:rPr>
              <w:t>b</w:t>
            </w:r>
            <w:r w:rsidR="007629A5" w:rsidRPr="007629A5">
              <w:rPr>
                <w:color w:val="000000" w:themeColor="text1"/>
              </w:rPr>
              <w:t>attery</w:t>
            </w:r>
            <w:r w:rsidR="007629A5">
              <w:rPr>
                <w:color w:val="000000" w:themeColor="text1"/>
              </w:rPr>
              <w:t>)</w:t>
            </w:r>
            <w:r>
              <w:rPr>
                <w:color w:val="000000" w:themeColor="text1"/>
              </w:rPr>
              <w:t xml:space="preserve">.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5086BAE" w:rsidR="00093CA9" w:rsidRPr="007419BF" w:rsidRDefault="007629A5" w:rsidP="00093CA9">
            <w:pPr>
              <w:rPr>
                <w:color w:val="000000" w:themeColor="text1"/>
              </w:rPr>
            </w:pPr>
            <w:r>
              <w:rPr>
                <w:color w:val="000000" w:themeColor="text1"/>
              </w:rPr>
              <w:t>No, explicit end date is mentioned.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E621553" w:rsidR="00093CA9" w:rsidRDefault="007629A5" w:rsidP="00093CA9">
            <w:r w:rsidRPr="00F4375C">
              <w:t>Ministry of Environment, Forest and Climate Change</w:t>
            </w:r>
            <w:r>
              <w:t xml:space="preserve"> (MoEFCC)</w:t>
            </w:r>
            <w:r w:rsidR="002172D1">
              <w:t>,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F596C4D" w:rsidR="00093CA9" w:rsidRPr="006B7B0D" w:rsidRDefault="007629A5" w:rsidP="00093CA9">
            <w:r w:rsidRPr="00AB12AF">
              <w:t>Ministry of Environment, Forest and Climate Change</w:t>
            </w:r>
            <w:r w:rsidR="002172D1">
              <w:t xml:space="preserve"> (MoEFCC), 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3D19D13" w:rsidR="00093CA9" w:rsidRPr="006B7B0D" w:rsidRDefault="007629A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858B33D" w:rsidR="00093CA9" w:rsidRPr="006B7B0D" w:rsidRDefault="007629A5" w:rsidP="00093CA9">
            <w:r w:rsidRPr="00AB12AF">
              <w:t>Central Pollution Control Board (CPCB)</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69DD04BF"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B48EA84" w:rsidR="00093CA9" w:rsidRPr="006B7B0D" w:rsidRDefault="00A426D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F7D1E99" w:rsidR="00093CA9" w:rsidRPr="006B7B0D" w:rsidRDefault="007629A5" w:rsidP="00093CA9">
            <w:r>
              <w:t xml:space="preserve">State </w:t>
            </w:r>
            <w:r w:rsidRPr="00AB12AF">
              <w:t>Pollution Control Board (</w:t>
            </w:r>
            <w:r>
              <w:t>S</w:t>
            </w:r>
            <w:r w:rsidRPr="00AB12AF">
              <w:t>PCB)</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5DF4581C" w:rsidR="00093CA9" w:rsidRPr="006B7B0D" w:rsidRDefault="00A426D8"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9809B63" w:rsidR="00093CA9" w:rsidRDefault="00151099" w:rsidP="00093CA9">
            <w:r>
              <w:t xml:space="preserve">Refer to Rule 11(13), (14), and (16), Rule 12, and Rule 15, which elaborate on the roles of the MoEFCC, CPCB, and SPCB in overseeing the implementation and/or enforcement of the policy tool.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155D6E5" w:rsidR="00093CA9" w:rsidRDefault="00A426D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6D9D481" w:rsidR="00093CA9" w:rsidRPr="008017F9" w:rsidRDefault="00EA6B44" w:rsidP="00921124">
            <w:pPr>
              <w:keepNext/>
              <w:rPr>
                <w:color w:val="000000" w:themeColor="text1"/>
              </w:rPr>
            </w:pPr>
            <w:r>
              <w:rPr>
                <w:color w:val="000000" w:themeColor="text1"/>
              </w:rPr>
              <w:t xml:space="preserve">As per Rule 14, CPCB shall establish and maintain an online system (i.e., </w:t>
            </w:r>
            <w:hyperlink r:id="rId20" w:history="1">
              <w:r w:rsidRPr="00202B65">
                <w:rPr>
                  <w:rStyle w:val="Hyperlink"/>
                </w:rPr>
                <w:t>online web portal</w:t>
              </w:r>
            </w:hyperlink>
            <w:r>
              <w:rPr>
                <w:color w:val="000000" w:themeColor="text1"/>
              </w:rPr>
              <w:t xml:space="preserve">) for the registration and filing of returns by producers, </w:t>
            </w:r>
            <w:r w:rsidRPr="00EA6B44">
              <w:rPr>
                <w:color w:val="000000" w:themeColor="text1"/>
              </w:rPr>
              <w:t xml:space="preserve">recyclers, and refurbishers of </w:t>
            </w:r>
            <w:r>
              <w:rPr>
                <w:color w:val="000000" w:themeColor="text1"/>
              </w:rPr>
              <w:t>w</w:t>
            </w:r>
            <w:r w:rsidRPr="00EA6B44">
              <w:rPr>
                <w:color w:val="000000" w:themeColor="text1"/>
              </w:rPr>
              <w:t xml:space="preserve">aste </w:t>
            </w:r>
            <w:r>
              <w:rPr>
                <w:color w:val="000000" w:themeColor="text1"/>
              </w:rPr>
              <w:t>b</w:t>
            </w:r>
            <w:r w:rsidRPr="00EA6B44">
              <w:rPr>
                <w:color w:val="000000" w:themeColor="text1"/>
              </w:rPr>
              <w:t>attery</w:t>
            </w:r>
            <w:r>
              <w:rPr>
                <w:color w:val="000000" w:themeColor="text1"/>
              </w:rPr>
              <w:t>. This portal serves as a single point of data repository. Furthermore, the system will reflect information on</w:t>
            </w:r>
            <w:r>
              <w:t xml:space="preserve"> </w:t>
            </w:r>
            <w:r w:rsidRPr="00EA6B44">
              <w:rPr>
                <w:color w:val="000000" w:themeColor="text1"/>
              </w:rPr>
              <w:t>material</w:t>
            </w:r>
            <w:r>
              <w:rPr>
                <w:color w:val="000000" w:themeColor="text1"/>
              </w:rPr>
              <w:t xml:space="preserve"> </w:t>
            </w:r>
            <w:r w:rsidRPr="00EA6B44">
              <w:rPr>
                <w:color w:val="000000" w:themeColor="text1"/>
              </w:rPr>
              <w:t xml:space="preserve">balance of </w:t>
            </w:r>
            <w:r>
              <w:rPr>
                <w:color w:val="000000" w:themeColor="text1"/>
              </w:rPr>
              <w:t>w</w:t>
            </w:r>
            <w:r w:rsidRPr="00EA6B44">
              <w:rPr>
                <w:color w:val="000000" w:themeColor="text1"/>
              </w:rPr>
              <w:t xml:space="preserve">aste </w:t>
            </w:r>
            <w:r>
              <w:rPr>
                <w:color w:val="000000" w:themeColor="text1"/>
              </w:rPr>
              <w:t>b</w:t>
            </w:r>
            <w:r w:rsidRPr="00EA6B44">
              <w:rPr>
                <w:color w:val="000000" w:themeColor="text1"/>
              </w:rPr>
              <w:t>attery</w:t>
            </w:r>
            <w:r>
              <w:rPr>
                <w:color w:val="000000" w:themeColor="text1"/>
              </w:rPr>
              <w:t xml:space="preserve">, as well as audit details. Hence, policy tool is being implemented and monitored.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2C271466" w:rsidR="00C4670C" w:rsidRPr="00C37D48" w:rsidRDefault="009A32B9"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221C8756" w:rsidR="00C4670C" w:rsidRPr="00C37D48" w:rsidRDefault="009A32B9"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243575F7" w:rsidR="00C4670C" w:rsidRPr="00C37D48" w:rsidRDefault="009A32B9"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07EE2656" w:rsidR="00C4670C" w:rsidRPr="00C37D48" w:rsidRDefault="009A32B9"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EEDFE7A" w:rsidR="00C4670C" w:rsidRPr="00C37D48" w:rsidRDefault="009A32B9"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F25B247" w:rsidR="00C4670C" w:rsidRPr="00C37D48" w:rsidRDefault="009A32B9"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524F881" w:rsidR="00C4670C" w:rsidRPr="00C37D48" w:rsidRDefault="00AF75DB"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162B2DFB" w:rsidR="00C4670C" w:rsidRPr="00C37D48" w:rsidRDefault="00AF75DB"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1385DE6" w:rsidR="00C4670C" w:rsidRPr="00C37D48" w:rsidRDefault="00AF75DB"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2FEA80B1" w:rsidR="00C4670C" w:rsidRPr="00C37D48" w:rsidRDefault="009669A5"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677BA38" w:rsidR="00C4670C" w:rsidRPr="00C37D48" w:rsidRDefault="009669A5"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7F164BB" w:rsidR="00C4670C" w:rsidRPr="00C37D48" w:rsidRDefault="009669A5"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0CC548AA"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B3A94F4" w:rsidR="00C4670C" w:rsidRPr="00C37D48" w:rsidRDefault="009669A5"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1CD441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AEE03D0" w:rsidR="004F276F" w:rsidRPr="00C37D48" w:rsidRDefault="003177A1" w:rsidP="001C6B64">
            <w:pPr>
              <w:jc w:val="both"/>
              <w:rPr>
                <w:rFonts w:ascii="Calibri" w:hAnsi="Calibri" w:cs="Calibri"/>
              </w:rPr>
            </w:pPr>
            <w:r>
              <w:rPr>
                <w:rFonts w:ascii="Calibri" w:hAnsi="Calibri" w:cs="Calibri"/>
              </w:rPr>
              <w:t xml:space="preserve">As per Rule 4, every </w:t>
            </w:r>
            <w:r w:rsidRPr="004E5B1D">
              <w:rPr>
                <w:rFonts w:ascii="Calibri" w:hAnsi="Calibri" w:cs="Calibri"/>
              </w:rPr>
              <w:t>Producer</w:t>
            </w:r>
            <w:r>
              <w:rPr>
                <w:rFonts w:ascii="Calibri" w:hAnsi="Calibri" w:cs="Calibri"/>
              </w:rPr>
              <w:t xml:space="preserve"> that brings battery in the market, </w:t>
            </w:r>
            <w:r w:rsidR="00880B04">
              <w:rPr>
                <w:rFonts w:ascii="Calibri" w:hAnsi="Calibri" w:cs="Calibri"/>
              </w:rPr>
              <w:t>is</w:t>
            </w:r>
            <w:r w:rsidR="00202B65">
              <w:rPr>
                <w:rFonts w:ascii="Calibri" w:hAnsi="Calibri" w:cs="Calibri"/>
              </w:rPr>
              <w:t xml:space="preserve"> required to </w:t>
            </w:r>
            <w:r>
              <w:rPr>
                <w:rFonts w:ascii="Calibri" w:hAnsi="Calibri" w:cs="Calibri"/>
              </w:rPr>
              <w:t>have recycl</w:t>
            </w:r>
            <w:r w:rsidR="00202B65">
              <w:rPr>
                <w:rFonts w:ascii="Calibri" w:hAnsi="Calibri" w:cs="Calibri"/>
              </w:rPr>
              <w:t>ing-related</w:t>
            </w:r>
            <w:r>
              <w:rPr>
                <w:rFonts w:ascii="Calibri" w:hAnsi="Calibri" w:cs="Calibri"/>
              </w:rPr>
              <w:t xml:space="preserve"> targets and EPR responsibility </w:t>
            </w:r>
            <w:r w:rsidR="00880B04">
              <w:rPr>
                <w:rFonts w:ascii="Calibri" w:hAnsi="Calibri" w:cs="Calibri"/>
              </w:rPr>
              <w:t xml:space="preserve">as </w:t>
            </w:r>
            <w:r>
              <w:rPr>
                <w:rFonts w:ascii="Calibri" w:hAnsi="Calibri" w:cs="Calibri"/>
              </w:rPr>
              <w:t xml:space="preserve">covered in Schedule II. </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250795D" w:rsidR="004F276F" w:rsidRPr="00C37D48" w:rsidRDefault="008D1D8D"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2539AFAB" w:rsidR="004F276F" w:rsidRPr="00C37D48" w:rsidRDefault="008D1D8D"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573B576D" w:rsidR="004F276F" w:rsidRPr="00C37D48" w:rsidRDefault="008D1D8D"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3E96A8CC" w:rsidR="004F276F" w:rsidRPr="00C37D48" w:rsidRDefault="008D1D8D" w:rsidP="00C37D48">
            <w:pPr>
              <w:rPr>
                <w:rFonts w:ascii="Calibri" w:hAnsi="Calibri" w:cs="Calibri"/>
              </w:rPr>
            </w:pPr>
            <w:r>
              <w:rPr>
                <w:rFonts w:ascii="Calibri" w:hAnsi="Calibri" w:cs="Calibri"/>
              </w:rPr>
              <w:t>X</w:t>
            </w: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AB00B98" w:rsidR="00711F61" w:rsidRPr="00C37D48" w:rsidRDefault="008D1D8D" w:rsidP="001C6B64">
            <w:pPr>
              <w:jc w:val="both"/>
              <w:rPr>
                <w:rFonts w:ascii="Calibri" w:hAnsi="Calibri" w:cs="Calibri"/>
              </w:rPr>
            </w:pPr>
            <w:r>
              <w:rPr>
                <w:rFonts w:ascii="Calibri" w:hAnsi="Calibri" w:cs="Calibri"/>
              </w:rPr>
              <w:t>The policy tool requires mandatory registration</w:t>
            </w:r>
            <w:r w:rsidR="0088676F">
              <w:rPr>
                <w:rFonts w:ascii="Calibri" w:hAnsi="Calibri" w:cs="Calibri"/>
              </w:rPr>
              <w:t xml:space="preserve"> in terms of Rule 4(4)</w:t>
            </w:r>
            <w:r w:rsidR="00511004">
              <w:rPr>
                <w:rFonts w:ascii="Calibri" w:hAnsi="Calibri" w:cs="Calibri"/>
              </w:rPr>
              <w:t xml:space="preserve"> </w:t>
            </w:r>
            <w:r w:rsidR="008532DF">
              <w:rPr>
                <w:rFonts w:ascii="Calibri" w:hAnsi="Calibri" w:cs="Calibri"/>
              </w:rPr>
              <w:t>and Rule 4(15)</w:t>
            </w:r>
            <w:r>
              <w:rPr>
                <w:rFonts w:ascii="Calibri" w:hAnsi="Calibri" w:cs="Calibri"/>
              </w:rPr>
              <w:t xml:space="preserve">. Non-compliance, such as concealing information or failing to register, can lead to </w:t>
            </w:r>
            <w:r w:rsidR="0088676F">
              <w:rPr>
                <w:rFonts w:ascii="Calibri" w:hAnsi="Calibri" w:cs="Calibri"/>
              </w:rPr>
              <w:t>suspension and/or cancellation of registration</w:t>
            </w:r>
            <w:r>
              <w:rPr>
                <w:rFonts w:ascii="Calibri" w:hAnsi="Calibri" w:cs="Calibri"/>
              </w:rPr>
              <w:t>, as per</w:t>
            </w:r>
            <w:r w:rsidR="003E07AD">
              <w:rPr>
                <w:rFonts w:ascii="Calibri" w:hAnsi="Calibri" w:cs="Calibri"/>
              </w:rPr>
              <w:t xml:space="preserve"> Rule</w:t>
            </w:r>
            <w:r w:rsidR="0088676F">
              <w:rPr>
                <w:rFonts w:ascii="Calibri" w:hAnsi="Calibri" w:cs="Calibri"/>
              </w:rPr>
              <w:t xml:space="preserve"> 11(12)</w:t>
            </w:r>
            <w:r>
              <w:rPr>
                <w:rFonts w:ascii="Calibri" w:hAnsi="Calibri" w:cs="Calibri"/>
              </w:rPr>
              <w:t>. Further, Rule 1</w:t>
            </w:r>
            <w:r w:rsidR="0088676F">
              <w:rPr>
                <w:rFonts w:ascii="Calibri" w:hAnsi="Calibri" w:cs="Calibri"/>
              </w:rPr>
              <w:t>3</w:t>
            </w:r>
            <w:r>
              <w:rPr>
                <w:rFonts w:ascii="Calibri" w:hAnsi="Calibri" w:cs="Calibri"/>
              </w:rPr>
              <w:t xml:space="preserve"> mandates the levying of Environmental Compensation (EC) based on the polluter pays principle, as per EC guidelines notified by the Central Pollution Control Board for non-fulfilment of EPR targets. Rule 1</w:t>
            </w:r>
            <w:r w:rsidR="0088676F">
              <w:rPr>
                <w:rFonts w:ascii="Calibri" w:hAnsi="Calibri" w:cs="Calibri"/>
              </w:rPr>
              <w:t>3(9)</w:t>
            </w:r>
            <w:r>
              <w:rPr>
                <w:rFonts w:ascii="Calibri" w:hAnsi="Calibri" w:cs="Calibri"/>
              </w:rPr>
              <w:t xml:space="preserve"> imposes </w:t>
            </w:r>
            <w:r w:rsidR="00136046">
              <w:rPr>
                <w:rFonts w:ascii="Calibri" w:hAnsi="Calibri" w:cs="Calibri"/>
              </w:rPr>
              <w:t xml:space="preserve">monetary </w:t>
            </w:r>
            <w:r>
              <w:rPr>
                <w:rFonts w:ascii="Calibri" w:hAnsi="Calibri" w:cs="Calibri"/>
              </w:rPr>
              <w:t xml:space="preserve">penalties on </w:t>
            </w:r>
            <w:r w:rsidR="0088676F">
              <w:rPr>
                <w:rFonts w:ascii="Calibri" w:hAnsi="Calibri" w:cs="Calibri"/>
              </w:rPr>
              <w:t>person</w:t>
            </w:r>
            <w:r>
              <w:rPr>
                <w:rFonts w:ascii="Calibri" w:hAnsi="Calibri" w:cs="Calibri"/>
              </w:rPr>
              <w:t xml:space="preserve"> who fail</w:t>
            </w:r>
            <w:r w:rsidR="0088676F">
              <w:rPr>
                <w:rFonts w:ascii="Calibri" w:hAnsi="Calibri" w:cs="Calibri"/>
              </w:rPr>
              <w:t>s</w:t>
            </w:r>
            <w:r>
              <w:rPr>
                <w:rFonts w:ascii="Calibri" w:hAnsi="Calibri" w:cs="Calibri"/>
              </w:rPr>
              <w:t xml:space="preserve"> to comply </w:t>
            </w:r>
            <w:r w:rsidR="00D407E2">
              <w:rPr>
                <w:rFonts w:ascii="Calibri" w:hAnsi="Calibri" w:cs="Calibri"/>
              </w:rPr>
              <w:t xml:space="preserve">with </w:t>
            </w:r>
            <w:r>
              <w:rPr>
                <w:rFonts w:ascii="Calibri" w:hAnsi="Calibri" w:cs="Calibri"/>
              </w:rPr>
              <w:t>or contravene</w:t>
            </w:r>
            <w:r w:rsidR="00D407E2">
              <w:rPr>
                <w:rFonts w:ascii="Calibri" w:hAnsi="Calibri" w:cs="Calibri"/>
              </w:rPr>
              <w:t>s</w:t>
            </w:r>
            <w:r w:rsidR="0088676F">
              <w:rPr>
                <w:rFonts w:ascii="Calibri" w:hAnsi="Calibri" w:cs="Calibri"/>
              </w:rPr>
              <w:t xml:space="preserve"> the provisions of the policy tool</w:t>
            </w:r>
            <w:r>
              <w:rPr>
                <w:rFonts w:ascii="Calibri" w:hAnsi="Calibri" w:cs="Calibri"/>
              </w:rPr>
              <w:t xml:space="preserve">, </w:t>
            </w:r>
            <w:r w:rsidR="0088676F">
              <w:rPr>
                <w:rFonts w:ascii="Calibri" w:hAnsi="Calibri" w:cs="Calibri"/>
              </w:rPr>
              <w:t>in terms of</w:t>
            </w:r>
            <w:r>
              <w:rPr>
                <w:rFonts w:ascii="Calibri" w:hAnsi="Calibri" w:cs="Calibri"/>
              </w:rPr>
              <w:t xml:space="preserve"> Section 15 of the Environment (Protection) Act, 1986.</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138D9C9D"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35432F2A" w:rsidR="001F30DE" w:rsidRPr="00C37D48" w:rsidRDefault="00A153F8"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AD1B91A" w14:textId="77777777" w:rsidR="00A153F8" w:rsidRDefault="00A153F8" w:rsidP="00A153F8">
            <w:pPr>
              <w:rPr>
                <w:rFonts w:ascii="Calibri" w:hAnsi="Calibri" w:cs="Calibri"/>
              </w:rPr>
            </w:pPr>
            <w:r w:rsidRPr="008A77FA">
              <w:rPr>
                <w:rFonts w:ascii="Calibri" w:hAnsi="Calibri" w:cs="Calibri"/>
              </w:rPr>
              <w:t xml:space="preserve">Considering that non-compliance leads to action against defaulting </w:t>
            </w:r>
            <w:r>
              <w:rPr>
                <w:rFonts w:ascii="Calibri" w:hAnsi="Calibri" w:cs="Calibri"/>
              </w:rPr>
              <w:t>entities</w:t>
            </w:r>
            <w:r w:rsidRPr="008A77FA">
              <w:rPr>
                <w:rFonts w:ascii="Calibri" w:hAnsi="Calibri" w:cs="Calibri"/>
              </w:rPr>
              <w:t xml:space="preserve">, hence this </w:t>
            </w:r>
            <w:r>
              <w:rPr>
                <w:rFonts w:ascii="Calibri" w:hAnsi="Calibri" w:cs="Calibri"/>
              </w:rPr>
              <w:t xml:space="preserve">policy tool </w:t>
            </w:r>
            <w:r w:rsidRPr="008A77FA">
              <w:rPr>
                <w:rFonts w:ascii="Calibri" w:hAnsi="Calibri" w:cs="Calibri"/>
              </w:rPr>
              <w:t>is being</w:t>
            </w:r>
            <w:r>
              <w:rPr>
                <w:rFonts w:ascii="Calibri" w:hAnsi="Calibri" w:cs="Calibri"/>
              </w:rPr>
              <w:t xml:space="preserve"> </w:t>
            </w:r>
            <w:r w:rsidRPr="008A77FA">
              <w:rPr>
                <w:rFonts w:ascii="Calibri" w:hAnsi="Calibri" w:cs="Calibri"/>
              </w:rPr>
              <w:t>implemented</w:t>
            </w:r>
            <w:r>
              <w:rPr>
                <w:rFonts w:ascii="Calibri" w:hAnsi="Calibri" w:cs="Calibri"/>
              </w:rPr>
              <w:t xml:space="preserve">, </w:t>
            </w:r>
            <w:r w:rsidRPr="008A77FA">
              <w:rPr>
                <w:rFonts w:ascii="Calibri" w:hAnsi="Calibri" w:cs="Calibri"/>
              </w:rPr>
              <w:t xml:space="preserve">monitored and </w:t>
            </w:r>
            <w:r>
              <w:rPr>
                <w:rFonts w:ascii="Calibri" w:hAnsi="Calibri" w:cs="Calibri"/>
              </w:rPr>
              <w:t>enforced</w:t>
            </w:r>
            <w:r w:rsidRPr="008A77FA">
              <w:rPr>
                <w:rFonts w:ascii="Calibri" w:hAnsi="Calibri" w:cs="Calibri"/>
              </w:rPr>
              <w:t>.</w:t>
            </w:r>
            <w:r>
              <w:rPr>
                <w:rFonts w:ascii="Calibri" w:hAnsi="Calibri" w:cs="Calibri"/>
              </w:rPr>
              <w:t xml:space="preserve"> For instance, please see below cases: </w:t>
            </w:r>
          </w:p>
          <w:p w14:paraId="231A8174" w14:textId="67B6BE62" w:rsidR="001F30DE" w:rsidRDefault="003604F1" w:rsidP="003604F1">
            <w:pPr>
              <w:pStyle w:val="ListParagraph"/>
              <w:numPr>
                <w:ilvl w:val="0"/>
                <w:numId w:val="49"/>
              </w:numPr>
              <w:rPr>
                <w:rFonts w:ascii="Calibri" w:hAnsi="Calibri" w:cs="Calibri"/>
              </w:rPr>
            </w:pPr>
            <w:hyperlink r:id="rId21" w:history="1">
              <w:r w:rsidRPr="003604F1">
                <w:rPr>
                  <w:rStyle w:val="Hyperlink"/>
                  <w:rFonts w:ascii="Calibri" w:hAnsi="Calibri" w:cs="Calibri"/>
                </w:rPr>
                <w:t>New So</w:t>
              </w:r>
              <w:r w:rsidRPr="003604F1">
                <w:rPr>
                  <w:rStyle w:val="Hyperlink"/>
                  <w:rFonts w:ascii="Calibri" w:hAnsi="Calibri" w:cs="Calibri"/>
                </w:rPr>
                <w:t>u</w:t>
              </w:r>
              <w:r w:rsidRPr="003604F1">
                <w:rPr>
                  <w:rStyle w:val="Hyperlink"/>
                  <w:rFonts w:ascii="Calibri" w:hAnsi="Calibri" w:cs="Calibri"/>
                </w:rPr>
                <w:t>rce 1</w:t>
              </w:r>
            </w:hyperlink>
          </w:p>
          <w:p w14:paraId="0CD89C5A" w14:textId="193A4162" w:rsidR="003604F1" w:rsidRPr="001C6B64" w:rsidRDefault="001C6B64" w:rsidP="001C6B64">
            <w:pPr>
              <w:pStyle w:val="ListParagraph"/>
              <w:numPr>
                <w:ilvl w:val="0"/>
                <w:numId w:val="49"/>
              </w:numPr>
              <w:rPr>
                <w:rFonts w:ascii="Calibri" w:hAnsi="Calibri" w:cs="Calibri"/>
              </w:rPr>
            </w:pPr>
            <w:hyperlink r:id="rId22" w:history="1">
              <w:r w:rsidR="003604F1" w:rsidRPr="001C6B64">
                <w:rPr>
                  <w:rStyle w:val="Hyperlink"/>
                  <w:rFonts w:ascii="Calibri" w:hAnsi="Calibri" w:cs="Calibri"/>
                </w:rPr>
                <w:t>New Source 2</w:t>
              </w:r>
            </w:hyperlink>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546BBEF" w:rsidR="001F30DE" w:rsidRPr="00C37D48" w:rsidRDefault="00277ED8"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A62D7DD"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025F59C" w:rsidR="004F48E8" w:rsidRPr="00C37D48" w:rsidRDefault="00277ED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EFF9922" w:rsidR="000A1365" w:rsidRPr="00C37D48" w:rsidRDefault="00277ED8"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8098D29" w:rsidR="004A4C51" w:rsidRPr="00C37D48" w:rsidRDefault="00277ED8" w:rsidP="00C37D48">
            <w:pPr>
              <w:rPr>
                <w:rFonts w:ascii="Calibri" w:hAnsi="Calibri" w:cs="Calibri"/>
              </w:rPr>
            </w:pPr>
            <w:r>
              <w:rPr>
                <w:rFonts w:ascii="Calibri" w:hAnsi="Calibri" w:cs="Calibri"/>
              </w:rPr>
              <w:t xml:space="preserve">No, </w:t>
            </w:r>
            <w:r w:rsidRPr="00D94EA1">
              <w:rPr>
                <w:rFonts w:ascii="Calibri" w:hAnsi="Calibri" w:cs="Calibri"/>
              </w:rPr>
              <w:t>recommendations or requirements regarding the appropriate use of offsets</w:t>
            </w:r>
            <w:r>
              <w:rPr>
                <w:rFonts w:ascii="Calibri" w:hAnsi="Calibri" w:cs="Calibri"/>
              </w:rPr>
              <w:t xml:space="preserve"> are described in the policy tool.</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12F8BA29" w:rsidR="00890032" w:rsidRPr="00C37D48" w:rsidRDefault="00277ED8"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7B7CE89" w:rsidR="00474855" w:rsidRPr="00C37D48" w:rsidRDefault="00277ED8" w:rsidP="00C37D48">
            <w:pPr>
              <w:rPr>
                <w:rFonts w:ascii="Calibri" w:hAnsi="Calibri" w:cs="Calibri"/>
              </w:rPr>
            </w:pPr>
            <w:r>
              <w:rPr>
                <w:rFonts w:ascii="Calibri" w:hAnsi="Calibri" w:cs="Calibri"/>
              </w:rPr>
              <w:t xml:space="preserve">No, </w:t>
            </w:r>
            <w:r w:rsidRPr="00C36140">
              <w:rPr>
                <w:rFonts w:ascii="Calibri" w:hAnsi="Calibri" w:cs="Calibri"/>
              </w:rPr>
              <w:t>the targeted entities for developing a "transition plan" (specifically, under EPR guidelines</w:t>
            </w:r>
            <w:r>
              <w:rPr>
                <w:rFonts w:ascii="Calibri" w:hAnsi="Calibri" w:cs="Calibri"/>
              </w:rPr>
              <w:t xml:space="preserve"> at Schedule II</w:t>
            </w:r>
            <w:r w:rsidRPr="00C36140">
              <w:rPr>
                <w:rFonts w:ascii="Calibri" w:hAnsi="Calibri" w:cs="Calibri"/>
              </w:rPr>
              <w:t>) do not differ from those identified in Q2.1.</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28B5E6B2" w:rsidR="003618D4" w:rsidRPr="00C37D48" w:rsidRDefault="00277ED8"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07EA23E5" w:rsidR="003618D4" w:rsidRPr="00C37D48" w:rsidRDefault="00277ED8"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62754869" w:rsidR="003618D4" w:rsidRPr="00C37D48" w:rsidRDefault="003618D4" w:rsidP="00C37D48">
            <w:pPr>
              <w:rPr>
                <w:rFonts w:ascii="Calibri" w:hAnsi="Calibri" w:cs="Calibri"/>
              </w:rPr>
            </w:pPr>
          </w:p>
        </w:tc>
        <w:tc>
          <w:tcPr>
            <w:tcW w:w="2363" w:type="dxa"/>
            <w:vAlign w:val="center"/>
          </w:tcPr>
          <w:p w14:paraId="02E8ED17" w14:textId="0A6F6FAC" w:rsidR="003618D4" w:rsidRPr="00C37D48" w:rsidRDefault="003602A8"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592C031" w:rsidR="003618D4" w:rsidRPr="00C37D48" w:rsidRDefault="00277ED8" w:rsidP="00C37D48">
            <w:pPr>
              <w:rPr>
                <w:rFonts w:ascii="Calibri" w:hAnsi="Calibri" w:cs="Calibri"/>
              </w:rPr>
            </w:pPr>
            <w:r>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9BA5367" w:rsidR="003618D4" w:rsidRPr="00C37D48" w:rsidRDefault="00277ED8"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3162909" w:rsidR="003618D4" w:rsidRPr="00C37D48" w:rsidRDefault="00277ED8"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DE2BD78" w14:textId="1B8AE7FC" w:rsidR="00E26324" w:rsidRDefault="00E26324" w:rsidP="00E26324">
            <w:pPr>
              <w:jc w:val="both"/>
              <w:rPr>
                <w:rFonts w:ascii="Calibri" w:hAnsi="Calibri" w:cs="Calibri"/>
              </w:rPr>
            </w:pPr>
            <w:r>
              <w:rPr>
                <w:rFonts w:ascii="Calibri" w:hAnsi="Calibri" w:cs="Calibri"/>
              </w:rPr>
              <w:t xml:space="preserve">As per the policy tool, </w:t>
            </w:r>
          </w:p>
          <w:p w14:paraId="6E8B6F25" w14:textId="63A1D1DD" w:rsidR="00E26324" w:rsidRDefault="00E26324" w:rsidP="00E26324">
            <w:pPr>
              <w:pStyle w:val="ListParagraph"/>
              <w:numPr>
                <w:ilvl w:val="0"/>
                <w:numId w:val="50"/>
              </w:numPr>
              <w:jc w:val="both"/>
              <w:rPr>
                <w:rFonts w:ascii="Calibri" w:hAnsi="Calibri" w:cs="Calibri"/>
              </w:rPr>
            </w:pPr>
            <w:r w:rsidRPr="00C161A5">
              <w:rPr>
                <w:rFonts w:ascii="Calibri" w:hAnsi="Calibri" w:cs="Calibri"/>
              </w:rPr>
              <w:t xml:space="preserve">2.36.1 - </w:t>
            </w:r>
            <w:r>
              <w:rPr>
                <w:rFonts w:ascii="Calibri" w:hAnsi="Calibri" w:cs="Calibri"/>
              </w:rPr>
              <w:t xml:space="preserve">Specific compliance cycles (e.g., 7, 10, or 14 years) and annual mandatory collection targets for different battery types define the timeframe for meeting EPR obligations. For instance, portable batteries used in consumer electronics have a 10-year compliance cycle with escalating annual targets to reach 100% collection/refurbishment/recycling by the end. Automotive and industrial batteries have a 7-year cycle, while certain EV batteries have a 14-year cycle.  </w:t>
            </w:r>
            <w:r w:rsidRPr="00C161A5">
              <w:rPr>
                <w:rFonts w:ascii="Calibri" w:hAnsi="Calibri" w:cs="Calibri"/>
              </w:rPr>
              <w:t>[</w:t>
            </w:r>
            <w:r w:rsidRPr="00E26324">
              <w:rPr>
                <w:rFonts w:ascii="Calibri" w:hAnsi="Calibri" w:cs="Calibri"/>
                <w:i/>
                <w:iCs/>
              </w:rPr>
              <w:t xml:space="preserve">Refer </w:t>
            </w:r>
            <w:r w:rsidRPr="001C6B64">
              <w:rPr>
                <w:rFonts w:ascii="Calibri" w:hAnsi="Calibri" w:cs="Calibri"/>
                <w:i/>
                <w:iCs/>
              </w:rPr>
              <w:t>Schedule II</w:t>
            </w:r>
            <w:r w:rsidRPr="00C161A5">
              <w:rPr>
                <w:rFonts w:ascii="Calibri" w:hAnsi="Calibri" w:cs="Calibri"/>
              </w:rPr>
              <w:t xml:space="preserve">] </w:t>
            </w:r>
          </w:p>
          <w:p w14:paraId="475AE54F" w14:textId="7DC5B9CD" w:rsidR="005733AF" w:rsidRPr="001C6B64" w:rsidRDefault="00E26324" w:rsidP="001C6B64">
            <w:pPr>
              <w:pStyle w:val="ListParagraph"/>
              <w:numPr>
                <w:ilvl w:val="0"/>
                <w:numId w:val="50"/>
              </w:numPr>
              <w:jc w:val="both"/>
              <w:rPr>
                <w:rFonts w:ascii="Calibri" w:hAnsi="Calibri" w:cs="Calibri"/>
              </w:rPr>
            </w:pPr>
            <w:r w:rsidRPr="001C6B64">
              <w:rPr>
                <w:rFonts w:ascii="Calibri" w:hAnsi="Calibri" w:cs="Calibri"/>
              </w:rPr>
              <w:t xml:space="preserve">2.36.4 – CPCP </w:t>
            </w:r>
            <w:r w:rsidR="00324B20">
              <w:rPr>
                <w:rFonts w:ascii="Calibri" w:hAnsi="Calibri" w:cs="Calibri"/>
              </w:rPr>
              <w:t xml:space="preserve">or </w:t>
            </w:r>
            <w:r w:rsidRPr="001C6B64">
              <w:rPr>
                <w:rFonts w:ascii="Calibri" w:hAnsi="Calibri" w:cs="Calibri"/>
              </w:rPr>
              <w:t>SPCP</w:t>
            </w:r>
            <w:r w:rsidR="00324B20">
              <w:rPr>
                <w:rFonts w:ascii="Calibri" w:hAnsi="Calibri" w:cs="Calibri"/>
              </w:rPr>
              <w:t xml:space="preserve">, as applicable, </w:t>
            </w:r>
            <w:r w:rsidRPr="001C6B64">
              <w:rPr>
                <w:rFonts w:ascii="Calibri" w:hAnsi="Calibri" w:cs="Calibri"/>
              </w:rPr>
              <w:t>by itself or through a designated agency will verify compliance through inspection and periodic audit</w:t>
            </w:r>
            <w:r w:rsidR="00324B20">
              <w:rPr>
                <w:rFonts w:ascii="Calibri" w:hAnsi="Calibri" w:cs="Calibri"/>
              </w:rPr>
              <w:t xml:space="preserve"> </w:t>
            </w:r>
            <w:r w:rsidR="00324B20" w:rsidRPr="00C161A5">
              <w:rPr>
                <w:rFonts w:ascii="Calibri" w:hAnsi="Calibri" w:cs="Calibri"/>
              </w:rPr>
              <w:t>[</w:t>
            </w:r>
            <w:r w:rsidR="00324B20" w:rsidRPr="00C161A5">
              <w:rPr>
                <w:rFonts w:ascii="Calibri" w:hAnsi="Calibri" w:cs="Calibri"/>
                <w:i/>
                <w:iCs/>
              </w:rPr>
              <w:t xml:space="preserve">Refer </w:t>
            </w:r>
            <w:r w:rsidR="00324B20">
              <w:rPr>
                <w:rFonts w:ascii="Calibri" w:hAnsi="Calibri" w:cs="Calibri"/>
                <w:i/>
                <w:iCs/>
              </w:rPr>
              <w:t>Rule</w:t>
            </w:r>
            <w:r w:rsidR="00324B20" w:rsidRPr="00C161A5">
              <w:rPr>
                <w:rFonts w:ascii="Calibri" w:hAnsi="Calibri" w:cs="Calibri"/>
                <w:i/>
                <w:iCs/>
              </w:rPr>
              <w:t xml:space="preserve"> 1</w:t>
            </w:r>
            <w:r w:rsidR="00324B20">
              <w:rPr>
                <w:rFonts w:ascii="Calibri" w:hAnsi="Calibri" w:cs="Calibri"/>
                <w:i/>
                <w:iCs/>
              </w:rPr>
              <w:t>1</w:t>
            </w:r>
            <w:r w:rsidR="00556B0A">
              <w:rPr>
                <w:rFonts w:ascii="Calibri" w:hAnsi="Calibri" w:cs="Calibri"/>
                <w:i/>
                <w:iCs/>
              </w:rPr>
              <w:t>(</w:t>
            </w:r>
            <w:r w:rsidR="00324B20">
              <w:rPr>
                <w:rFonts w:ascii="Calibri" w:hAnsi="Calibri" w:cs="Calibri"/>
                <w:i/>
                <w:iCs/>
              </w:rPr>
              <w:t>10</w:t>
            </w:r>
            <w:r w:rsidR="00556B0A">
              <w:rPr>
                <w:rFonts w:ascii="Calibri" w:hAnsi="Calibri" w:cs="Calibri"/>
                <w:i/>
                <w:iCs/>
              </w:rPr>
              <w:t>)</w:t>
            </w:r>
            <w:r w:rsidR="00324B20">
              <w:rPr>
                <w:rFonts w:ascii="Calibri" w:hAnsi="Calibri" w:cs="Calibri"/>
                <w:i/>
                <w:iCs/>
              </w:rPr>
              <w:t xml:space="preserve"> &amp; 12</w:t>
            </w:r>
            <w:r w:rsidR="00556B0A">
              <w:rPr>
                <w:rFonts w:ascii="Calibri" w:hAnsi="Calibri" w:cs="Calibri"/>
                <w:i/>
                <w:iCs/>
              </w:rPr>
              <w:t>(</w:t>
            </w:r>
            <w:r w:rsidR="00324B20">
              <w:rPr>
                <w:rFonts w:ascii="Calibri" w:hAnsi="Calibri" w:cs="Calibri"/>
                <w:i/>
                <w:iCs/>
              </w:rPr>
              <w:t>1</w:t>
            </w:r>
            <w:r w:rsidR="00556B0A">
              <w:rPr>
                <w:rFonts w:ascii="Calibri" w:hAnsi="Calibri" w:cs="Calibri"/>
                <w:i/>
                <w:iCs/>
              </w:rPr>
              <w:t>)</w:t>
            </w:r>
            <w:r w:rsidR="00324B20">
              <w:rPr>
                <w:rFonts w:ascii="Calibri" w:hAnsi="Calibri" w:cs="Calibri"/>
                <w:i/>
                <w:iCs/>
              </w:rPr>
              <w:t>(i)]</w:t>
            </w:r>
            <w:r w:rsidRPr="001C6B64">
              <w:rPr>
                <w:rFonts w:ascii="Calibri" w:hAnsi="Calibri" w:cs="Calibri"/>
              </w:rPr>
              <w:t>.</w:t>
            </w:r>
            <w:r w:rsidR="00324B20">
              <w:rPr>
                <w:rFonts w:ascii="Calibri" w:hAnsi="Calibri" w:cs="Calibri"/>
              </w:rPr>
              <w:t xml:space="preserve"> Further, CPCB, </w:t>
            </w:r>
            <w:r w:rsidR="00324B20" w:rsidRPr="00C161A5">
              <w:rPr>
                <w:rFonts w:ascii="Calibri" w:hAnsi="Calibri" w:cs="Calibri"/>
              </w:rPr>
              <w:t>by itself or through a designated agency will</w:t>
            </w:r>
            <w:r w:rsidR="00324B20">
              <w:rPr>
                <w:rFonts w:ascii="Calibri" w:hAnsi="Calibri" w:cs="Calibri"/>
              </w:rPr>
              <w:t xml:space="preserve"> also </w:t>
            </w:r>
            <w:r w:rsidR="00324B20" w:rsidRPr="00324B20">
              <w:rPr>
                <w:rFonts w:ascii="Calibri" w:hAnsi="Calibri" w:cs="Calibri"/>
              </w:rPr>
              <w:t>conducts audits of data, utilizing information from sources like the Goods and Services Tax Network portal</w:t>
            </w:r>
            <w:r w:rsidR="00324B20">
              <w:rPr>
                <w:rFonts w:ascii="Calibri" w:hAnsi="Calibri" w:cs="Calibri"/>
              </w:rPr>
              <w:t xml:space="preserve"> </w:t>
            </w:r>
            <w:r w:rsidR="00324B20">
              <w:rPr>
                <w:rFonts w:ascii="Calibri" w:hAnsi="Calibri" w:cs="Calibri"/>
                <w:i/>
                <w:iCs/>
              </w:rPr>
              <w:t xml:space="preserve">[Refer Rule </w:t>
            </w:r>
            <w:r w:rsidRPr="001C6B64">
              <w:rPr>
                <w:rFonts w:ascii="Calibri" w:hAnsi="Calibri" w:cs="Calibri"/>
                <w:i/>
                <w:iCs/>
              </w:rPr>
              <w:t>1</w:t>
            </w:r>
            <w:r w:rsidR="00324B20">
              <w:rPr>
                <w:rFonts w:ascii="Calibri" w:hAnsi="Calibri" w:cs="Calibri"/>
                <w:i/>
                <w:iCs/>
              </w:rPr>
              <w:t>1</w:t>
            </w:r>
            <w:r w:rsidR="00556B0A">
              <w:rPr>
                <w:rFonts w:ascii="Calibri" w:hAnsi="Calibri" w:cs="Calibri"/>
                <w:i/>
                <w:iCs/>
              </w:rPr>
              <w:t>(</w:t>
            </w:r>
            <w:r w:rsidRPr="001C6B64">
              <w:rPr>
                <w:rFonts w:ascii="Calibri" w:hAnsi="Calibri" w:cs="Calibri"/>
                <w:i/>
                <w:iCs/>
              </w:rPr>
              <w:t>1</w:t>
            </w:r>
            <w:r w:rsidR="00324B20">
              <w:rPr>
                <w:rFonts w:ascii="Calibri" w:hAnsi="Calibri" w:cs="Calibri"/>
                <w:i/>
                <w:iCs/>
              </w:rPr>
              <w:t>1</w:t>
            </w:r>
            <w:r w:rsidR="00556B0A">
              <w:rPr>
                <w:rFonts w:ascii="Calibri" w:hAnsi="Calibri" w:cs="Calibri"/>
                <w:i/>
                <w:iCs/>
              </w:rPr>
              <w:t>)</w:t>
            </w:r>
            <w:r w:rsidRPr="001C6B64">
              <w:rPr>
                <w:rFonts w:ascii="Calibri" w:hAnsi="Calibri" w:cs="Calibri"/>
              </w:rPr>
              <w:t>]</w:t>
            </w:r>
            <w:r w:rsidR="00324B20">
              <w:rPr>
                <w:rFonts w:ascii="Calibri" w:hAnsi="Calibri" w:cs="Calibri"/>
              </w:rPr>
              <w:t xml:space="preserve">.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05B667A" w:rsidR="00E7486E" w:rsidRPr="00C37D48" w:rsidRDefault="001760A6"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694D5030" w14:textId="27A009E9" w:rsidR="001760A6" w:rsidRPr="001760A6" w:rsidRDefault="001760A6" w:rsidP="001760A6">
            <w:pPr>
              <w:rPr>
                <w:rFonts w:ascii="Calibri" w:hAnsi="Calibri" w:cs="Calibri"/>
              </w:rPr>
            </w:pPr>
            <w:r w:rsidRPr="001760A6">
              <w:rPr>
                <w:rFonts w:ascii="Calibri" w:hAnsi="Calibri" w:cs="Calibri"/>
              </w:rPr>
              <w:t>The policy tool mandates several mechanisms for monitoring the implementation of these "transition plans":</w:t>
            </w:r>
          </w:p>
          <w:p w14:paraId="560A223E" w14:textId="4BE18AEB" w:rsidR="001760A6" w:rsidRPr="001760A6" w:rsidRDefault="001760A6" w:rsidP="001760A6">
            <w:pPr>
              <w:rPr>
                <w:rFonts w:ascii="Calibri" w:hAnsi="Calibri" w:cs="Calibri"/>
                <w:lang w:val="en-IN"/>
              </w:rPr>
            </w:pPr>
            <w:r w:rsidRPr="001760A6">
              <w:rPr>
                <w:rFonts w:ascii="Calibri" w:hAnsi="Calibri" w:cs="Calibri"/>
                <w:lang w:val="en-IN"/>
              </w:rPr>
              <w:t>• Mandatory registration and filing of a</w:t>
            </w:r>
            <w:r w:rsidR="003260C8">
              <w:rPr>
                <w:rFonts w:ascii="Calibri" w:hAnsi="Calibri" w:cs="Calibri"/>
                <w:lang w:val="en-IN"/>
              </w:rPr>
              <w:t>nnual</w:t>
            </w:r>
            <w:r w:rsidRPr="001760A6">
              <w:rPr>
                <w:rFonts w:ascii="Calibri" w:hAnsi="Calibri" w:cs="Calibri"/>
                <w:lang w:val="en-IN"/>
              </w:rPr>
              <w:t xml:space="preserve"> returns on an online system established by CPCB. [</w:t>
            </w:r>
            <w:r w:rsidRPr="001760A6">
              <w:rPr>
                <w:rFonts w:ascii="Calibri" w:hAnsi="Calibri" w:cs="Calibri"/>
                <w:i/>
                <w:iCs/>
                <w:lang w:val="en-IN"/>
              </w:rPr>
              <w:t xml:space="preserve">Refer </w:t>
            </w:r>
            <w:r w:rsidR="000465C8">
              <w:rPr>
                <w:rFonts w:ascii="Calibri" w:hAnsi="Calibri" w:cs="Calibri"/>
                <w:i/>
                <w:iCs/>
                <w:lang w:val="en-IN"/>
              </w:rPr>
              <w:t>Rule 14</w:t>
            </w:r>
            <w:r w:rsidRPr="001760A6">
              <w:rPr>
                <w:rFonts w:ascii="Calibri" w:hAnsi="Calibri" w:cs="Calibri"/>
                <w:lang w:val="en-IN"/>
              </w:rPr>
              <w:t>]</w:t>
            </w:r>
          </w:p>
          <w:p w14:paraId="5DD09870" w14:textId="50E2006E" w:rsidR="001760A6" w:rsidRPr="001760A6" w:rsidRDefault="001760A6" w:rsidP="001760A6">
            <w:pPr>
              <w:rPr>
                <w:rFonts w:ascii="Calibri" w:hAnsi="Calibri" w:cs="Calibri"/>
                <w:lang w:val="en-IN"/>
              </w:rPr>
            </w:pPr>
            <w:r w:rsidRPr="001760A6">
              <w:rPr>
                <w:rFonts w:ascii="Calibri" w:hAnsi="Calibri" w:cs="Calibri"/>
                <w:lang w:val="en-IN"/>
              </w:rPr>
              <w:t>• Annual</w:t>
            </w:r>
            <w:r w:rsidR="000465C8">
              <w:rPr>
                <w:rFonts w:ascii="Calibri" w:hAnsi="Calibri" w:cs="Calibri"/>
                <w:lang w:val="en-IN"/>
              </w:rPr>
              <w:t xml:space="preserve"> &amp; Quarterly </w:t>
            </w:r>
            <w:r w:rsidRPr="001760A6">
              <w:rPr>
                <w:rFonts w:ascii="Calibri" w:hAnsi="Calibri" w:cs="Calibri"/>
                <w:lang w:val="en-IN"/>
              </w:rPr>
              <w:t>Returns is required to be file with the CPCB or concerned SPCB by June 30th of the next financial year. [</w:t>
            </w:r>
            <w:r w:rsidRPr="001760A6">
              <w:rPr>
                <w:rFonts w:ascii="Calibri" w:hAnsi="Calibri" w:cs="Calibri"/>
                <w:i/>
                <w:iCs/>
                <w:lang w:val="en-IN"/>
              </w:rPr>
              <w:t xml:space="preserve">Refer to </w:t>
            </w:r>
            <w:r w:rsidR="000465C8">
              <w:rPr>
                <w:rFonts w:ascii="Calibri" w:hAnsi="Calibri" w:cs="Calibri"/>
                <w:i/>
                <w:iCs/>
                <w:lang w:val="en-IN"/>
              </w:rPr>
              <w:t>Rule 4(2)&amp;(11)</w:t>
            </w:r>
            <w:r w:rsidR="00B346F1">
              <w:rPr>
                <w:rFonts w:ascii="Calibri" w:hAnsi="Calibri" w:cs="Calibri"/>
                <w:i/>
                <w:iCs/>
                <w:lang w:val="en-IN"/>
              </w:rPr>
              <w:t xml:space="preserve">, </w:t>
            </w:r>
            <w:r w:rsidR="000465C8">
              <w:rPr>
                <w:rFonts w:ascii="Calibri" w:hAnsi="Calibri" w:cs="Calibri"/>
                <w:i/>
                <w:iCs/>
                <w:lang w:val="en-IN"/>
              </w:rPr>
              <w:t>Rule 8(3</w:t>
            </w:r>
            <w:r w:rsidR="00B346F1">
              <w:rPr>
                <w:rFonts w:ascii="Calibri" w:hAnsi="Calibri" w:cs="Calibri"/>
                <w:i/>
                <w:iCs/>
                <w:lang w:val="en-IN"/>
              </w:rPr>
              <w:t>),</w:t>
            </w:r>
            <w:r w:rsidR="000465C8">
              <w:rPr>
                <w:rFonts w:ascii="Calibri" w:hAnsi="Calibri" w:cs="Calibri"/>
                <w:i/>
                <w:iCs/>
                <w:lang w:val="en-IN"/>
              </w:rPr>
              <w:t xml:space="preserve"> </w:t>
            </w:r>
            <w:r w:rsidR="00B346F1">
              <w:rPr>
                <w:rFonts w:ascii="Calibri" w:hAnsi="Calibri" w:cs="Calibri"/>
                <w:i/>
                <w:iCs/>
                <w:lang w:val="en-IN"/>
              </w:rPr>
              <w:t xml:space="preserve">and </w:t>
            </w:r>
            <w:r w:rsidR="000465C8">
              <w:rPr>
                <w:rFonts w:ascii="Calibri" w:hAnsi="Calibri" w:cs="Calibri"/>
                <w:i/>
                <w:iCs/>
                <w:lang w:val="en-IN"/>
              </w:rPr>
              <w:t>Rule 9(3)</w:t>
            </w:r>
            <w:r w:rsidRPr="001760A6">
              <w:rPr>
                <w:rFonts w:ascii="Calibri" w:hAnsi="Calibri" w:cs="Calibri"/>
                <w:lang w:val="en-IN"/>
              </w:rPr>
              <w:t>]</w:t>
            </w:r>
          </w:p>
          <w:p w14:paraId="2674DA74" w14:textId="2C3BB6ED" w:rsidR="001760A6" w:rsidRPr="001760A6" w:rsidRDefault="001760A6" w:rsidP="001760A6">
            <w:pPr>
              <w:rPr>
                <w:rFonts w:ascii="Calibri" w:hAnsi="Calibri" w:cs="Calibri"/>
                <w:lang w:val="en-IN"/>
              </w:rPr>
            </w:pPr>
            <w:r w:rsidRPr="001760A6">
              <w:rPr>
                <w:rFonts w:ascii="Calibri" w:hAnsi="Calibri" w:cs="Calibri"/>
                <w:lang w:val="en-IN"/>
              </w:rPr>
              <w:t xml:space="preserve">• Inspections and periodic audits to verify the compliance by CPCB or SPCB, directly or through designated agencies. </w:t>
            </w:r>
            <w:r w:rsidRPr="001760A6">
              <w:rPr>
                <w:rFonts w:ascii="Calibri" w:hAnsi="Calibri" w:cs="Calibri"/>
              </w:rPr>
              <w:t>[</w:t>
            </w:r>
            <w:r w:rsidRPr="001760A6">
              <w:rPr>
                <w:rFonts w:ascii="Calibri" w:hAnsi="Calibri" w:cs="Calibri"/>
                <w:i/>
                <w:iCs/>
              </w:rPr>
              <w:t>Refer</w:t>
            </w:r>
            <w:r w:rsidR="000465C8">
              <w:rPr>
                <w:rFonts w:ascii="Calibri" w:hAnsi="Calibri" w:cs="Calibri"/>
                <w:i/>
                <w:iCs/>
              </w:rPr>
              <w:t xml:space="preserve"> Rule</w:t>
            </w:r>
            <w:r w:rsidR="000465C8" w:rsidRPr="00C161A5">
              <w:rPr>
                <w:rFonts w:ascii="Calibri" w:hAnsi="Calibri" w:cs="Calibri"/>
                <w:i/>
                <w:iCs/>
              </w:rPr>
              <w:t xml:space="preserve"> 1</w:t>
            </w:r>
            <w:r w:rsidR="000465C8">
              <w:rPr>
                <w:rFonts w:ascii="Calibri" w:hAnsi="Calibri" w:cs="Calibri"/>
                <w:i/>
                <w:iCs/>
              </w:rPr>
              <w:t>1</w:t>
            </w:r>
            <w:r w:rsidR="00556B0A">
              <w:rPr>
                <w:rFonts w:ascii="Calibri" w:hAnsi="Calibri" w:cs="Calibri"/>
                <w:i/>
                <w:iCs/>
              </w:rPr>
              <w:t>(</w:t>
            </w:r>
            <w:r w:rsidR="000465C8">
              <w:rPr>
                <w:rFonts w:ascii="Calibri" w:hAnsi="Calibri" w:cs="Calibri"/>
                <w:i/>
                <w:iCs/>
              </w:rPr>
              <w:t>10</w:t>
            </w:r>
            <w:r w:rsidR="00556B0A">
              <w:rPr>
                <w:rFonts w:ascii="Calibri" w:hAnsi="Calibri" w:cs="Calibri"/>
                <w:i/>
                <w:iCs/>
              </w:rPr>
              <w:t>)</w:t>
            </w:r>
            <w:r w:rsidR="000465C8">
              <w:rPr>
                <w:rFonts w:ascii="Calibri" w:hAnsi="Calibri" w:cs="Calibri"/>
                <w:i/>
                <w:iCs/>
              </w:rPr>
              <w:t>, 11</w:t>
            </w:r>
            <w:r w:rsidR="00556B0A">
              <w:rPr>
                <w:rFonts w:ascii="Calibri" w:hAnsi="Calibri" w:cs="Calibri"/>
                <w:i/>
                <w:iCs/>
              </w:rPr>
              <w:t>(</w:t>
            </w:r>
            <w:r w:rsidR="000465C8">
              <w:rPr>
                <w:rFonts w:ascii="Calibri" w:hAnsi="Calibri" w:cs="Calibri"/>
                <w:i/>
                <w:iCs/>
              </w:rPr>
              <w:t>11</w:t>
            </w:r>
            <w:r w:rsidR="00556B0A">
              <w:rPr>
                <w:rFonts w:ascii="Calibri" w:hAnsi="Calibri" w:cs="Calibri"/>
                <w:i/>
                <w:iCs/>
              </w:rPr>
              <w:t>)</w:t>
            </w:r>
            <w:r w:rsidR="000465C8">
              <w:rPr>
                <w:rFonts w:ascii="Calibri" w:hAnsi="Calibri" w:cs="Calibri"/>
                <w:i/>
                <w:iCs/>
              </w:rPr>
              <w:t xml:space="preserve"> &amp; 12</w:t>
            </w:r>
            <w:r w:rsidR="00556B0A">
              <w:rPr>
                <w:rFonts w:ascii="Calibri" w:hAnsi="Calibri" w:cs="Calibri"/>
                <w:i/>
                <w:iCs/>
              </w:rPr>
              <w:t>(</w:t>
            </w:r>
            <w:r w:rsidR="000465C8">
              <w:rPr>
                <w:rFonts w:ascii="Calibri" w:hAnsi="Calibri" w:cs="Calibri"/>
                <w:i/>
                <w:iCs/>
              </w:rPr>
              <w:t>1</w:t>
            </w:r>
            <w:r w:rsidR="00556B0A">
              <w:rPr>
                <w:rFonts w:ascii="Calibri" w:hAnsi="Calibri" w:cs="Calibri"/>
                <w:i/>
                <w:iCs/>
              </w:rPr>
              <w:t>)</w:t>
            </w:r>
            <w:r w:rsidR="000465C8">
              <w:rPr>
                <w:rFonts w:ascii="Calibri" w:hAnsi="Calibri" w:cs="Calibri"/>
                <w:i/>
                <w:iCs/>
              </w:rPr>
              <w:t>(i)]</w:t>
            </w:r>
            <w:r w:rsidRPr="001760A6">
              <w:rPr>
                <w:rFonts w:ascii="Calibri" w:hAnsi="Calibri" w:cs="Calibri"/>
              </w:rPr>
              <w:t>]</w:t>
            </w:r>
          </w:p>
          <w:p w14:paraId="0C49EF13" w14:textId="3FA327F8" w:rsidR="00E7486E" w:rsidRPr="00C37D48" w:rsidRDefault="001760A6" w:rsidP="001760A6">
            <w:pPr>
              <w:rPr>
                <w:rFonts w:ascii="Calibri" w:hAnsi="Calibri" w:cs="Calibri"/>
              </w:rPr>
            </w:pPr>
            <w:r w:rsidRPr="001760A6">
              <w:rPr>
                <w:rFonts w:ascii="Calibri" w:hAnsi="Calibri" w:cs="Calibri"/>
                <w:lang w:val="en-IN"/>
              </w:rPr>
              <w:t>• The CPCB</w:t>
            </w:r>
            <w:r w:rsidR="000465C8">
              <w:rPr>
                <w:rFonts w:ascii="Calibri" w:hAnsi="Calibri" w:cs="Calibri"/>
                <w:lang w:val="en-IN"/>
              </w:rPr>
              <w:t xml:space="preserve"> and SPCB</w:t>
            </w:r>
            <w:r w:rsidRPr="001760A6">
              <w:rPr>
                <w:rFonts w:ascii="Calibri" w:hAnsi="Calibri" w:cs="Calibri"/>
                <w:lang w:val="en-IN"/>
              </w:rPr>
              <w:t xml:space="preserve"> </w:t>
            </w:r>
            <w:r w:rsidR="000465C8">
              <w:rPr>
                <w:rFonts w:ascii="Calibri" w:hAnsi="Calibri" w:cs="Calibri"/>
                <w:lang w:val="en-IN"/>
              </w:rPr>
              <w:t xml:space="preserve">are </w:t>
            </w:r>
            <w:r w:rsidRPr="001760A6">
              <w:rPr>
                <w:rFonts w:ascii="Calibri" w:hAnsi="Calibri" w:cs="Calibri"/>
                <w:lang w:val="en-IN"/>
              </w:rPr>
              <w:t xml:space="preserve">required to publish an annual list of </w:t>
            </w:r>
            <w:r w:rsidR="000465C8">
              <w:rPr>
                <w:rFonts w:ascii="Calibri" w:hAnsi="Calibri" w:cs="Calibri"/>
                <w:lang w:val="en-IN"/>
              </w:rPr>
              <w:t>entities</w:t>
            </w:r>
            <w:r w:rsidRPr="001760A6">
              <w:rPr>
                <w:rFonts w:ascii="Calibri" w:hAnsi="Calibri" w:cs="Calibri"/>
                <w:lang w:val="en-IN"/>
              </w:rPr>
              <w:t xml:space="preserve"> who have failed to meet their EPR targets and obligations. [</w:t>
            </w:r>
            <w:r w:rsidRPr="001760A6">
              <w:rPr>
                <w:rFonts w:ascii="Calibri" w:hAnsi="Calibri" w:cs="Calibri"/>
                <w:i/>
                <w:iCs/>
                <w:lang w:val="en-IN"/>
              </w:rPr>
              <w:t xml:space="preserve">Refer </w:t>
            </w:r>
            <w:r w:rsidR="000465C8">
              <w:rPr>
                <w:rFonts w:ascii="Calibri" w:hAnsi="Calibri" w:cs="Calibri"/>
                <w:i/>
                <w:iCs/>
                <w:lang w:val="en-IN"/>
              </w:rPr>
              <w:t>Rule 11</w:t>
            </w:r>
            <w:r w:rsidR="00556B0A">
              <w:rPr>
                <w:rFonts w:ascii="Calibri" w:hAnsi="Calibri" w:cs="Calibri"/>
                <w:i/>
                <w:iCs/>
                <w:lang w:val="en-IN"/>
              </w:rPr>
              <w:t>(</w:t>
            </w:r>
            <w:r w:rsidR="000465C8">
              <w:rPr>
                <w:rFonts w:ascii="Calibri" w:hAnsi="Calibri" w:cs="Calibri"/>
                <w:i/>
                <w:iCs/>
                <w:lang w:val="en-IN"/>
              </w:rPr>
              <w:t>20</w:t>
            </w:r>
            <w:r w:rsidR="00556B0A">
              <w:rPr>
                <w:rFonts w:ascii="Calibri" w:hAnsi="Calibri" w:cs="Calibri"/>
                <w:i/>
                <w:iCs/>
                <w:lang w:val="en-IN"/>
              </w:rPr>
              <w:t>)</w:t>
            </w:r>
            <w:r w:rsidR="000465C8">
              <w:rPr>
                <w:rFonts w:ascii="Calibri" w:hAnsi="Calibri" w:cs="Calibri"/>
                <w:i/>
                <w:iCs/>
                <w:lang w:val="en-IN"/>
              </w:rPr>
              <w:t xml:space="preserve"> &amp;</w:t>
            </w:r>
            <w:r w:rsidRPr="001760A6">
              <w:rPr>
                <w:rFonts w:ascii="Calibri" w:hAnsi="Calibri" w:cs="Calibri"/>
                <w:i/>
                <w:iCs/>
                <w:lang w:val="en-IN"/>
              </w:rPr>
              <w:t xml:space="preserve"> 12</w:t>
            </w:r>
            <w:r w:rsidR="00556B0A">
              <w:rPr>
                <w:rFonts w:ascii="Calibri" w:hAnsi="Calibri" w:cs="Calibri"/>
                <w:i/>
                <w:iCs/>
                <w:lang w:val="en-IN"/>
              </w:rPr>
              <w:t>(</w:t>
            </w:r>
            <w:r w:rsidR="000465C8">
              <w:rPr>
                <w:rFonts w:ascii="Calibri" w:hAnsi="Calibri" w:cs="Calibri"/>
                <w:i/>
                <w:iCs/>
                <w:lang w:val="en-IN"/>
              </w:rPr>
              <w:t>3</w:t>
            </w:r>
            <w:r w:rsidR="00556B0A">
              <w:rPr>
                <w:rFonts w:ascii="Calibri" w:hAnsi="Calibri" w:cs="Calibri"/>
                <w:i/>
                <w:iCs/>
                <w:lang w:val="en-IN"/>
              </w:rPr>
              <w:t>)</w:t>
            </w:r>
            <w:r w:rsidRPr="001760A6">
              <w:rPr>
                <w:rFonts w:ascii="Calibri" w:hAnsi="Calibri" w:cs="Calibri"/>
                <w:lang w:val="en-IN"/>
              </w:rPr>
              <w: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B67FE12" w:rsidR="00671EA4" w:rsidRPr="00C37D48" w:rsidRDefault="009B4468"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5F6CE63" w:rsidR="00B610C2" w:rsidRPr="00610F28" w:rsidRDefault="007747AF"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8826C60" w:rsidR="00B610C2" w:rsidRPr="00610F28" w:rsidRDefault="007747AF"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80F8C37" w:rsidR="00B610C2" w:rsidRPr="00610F28" w:rsidRDefault="007747AF"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9266451" w:rsidR="00B610C2" w:rsidRPr="00610F28" w:rsidRDefault="007747AF"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0431FBC" w:rsidR="00B610C2" w:rsidRPr="00610F28" w:rsidRDefault="007747AF"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294CA98" w:rsidR="00B610C2" w:rsidRPr="00610F28" w:rsidRDefault="007747AF"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826C804" w:rsidR="00B610C2" w:rsidRPr="00610F28" w:rsidRDefault="007747AF"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C0EB32B" w:rsidR="00B610C2" w:rsidRPr="00610F28" w:rsidRDefault="007747AF"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4F8C703" w:rsidR="00B610C2" w:rsidRPr="00610F28" w:rsidRDefault="007747AF"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9FC4BB6" w:rsidR="00B610C2" w:rsidRPr="00610F28" w:rsidRDefault="007747AF" w:rsidP="00610F28">
            <w:pPr>
              <w:rPr>
                <w:rFonts w:ascii="Calibri" w:hAnsi="Calibri" w:cs="Calibri"/>
              </w:rPr>
            </w:pPr>
            <w:r>
              <w:rPr>
                <w:rFonts w:ascii="Calibri" w:hAnsi="Calibri" w:cs="Calibri"/>
              </w:rPr>
              <w:t>X</w:t>
            </w:r>
          </w:p>
        </w:tc>
      </w:tr>
      <w:tr w:rsidR="00F2491A" w:rsidRPr="00610F28" w14:paraId="46B4786E" w14:textId="7D8317AA" w:rsidTr="00610F28">
        <w:tc>
          <w:tcPr>
            <w:tcW w:w="1065" w:type="dxa"/>
            <w:vAlign w:val="center"/>
          </w:tcPr>
          <w:p w14:paraId="70F8B66D" w14:textId="2138019E" w:rsidR="00F2491A" w:rsidRPr="00610F28" w:rsidRDefault="00F2491A" w:rsidP="00F2491A">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F2491A" w:rsidRPr="00610F28" w:rsidRDefault="00F2491A" w:rsidP="00F2491A">
            <w:pPr>
              <w:rPr>
                <w:rFonts w:ascii="Calibri" w:hAnsi="Calibri" w:cs="Calibri"/>
              </w:rPr>
            </w:pPr>
            <w:r w:rsidRPr="00610F28">
              <w:rPr>
                <w:rFonts w:ascii="Calibri" w:hAnsi="Calibri" w:cs="Calibri"/>
              </w:rPr>
              <w:t xml:space="preserve">Other </w:t>
            </w:r>
          </w:p>
        </w:tc>
        <w:tc>
          <w:tcPr>
            <w:tcW w:w="1449" w:type="dxa"/>
            <w:vAlign w:val="center"/>
          </w:tcPr>
          <w:p w14:paraId="6B302FFA" w14:textId="5310A071" w:rsidR="00F2491A" w:rsidRPr="00610F28" w:rsidRDefault="00F2491A" w:rsidP="00F2491A">
            <w:pPr>
              <w:rPr>
                <w:rFonts w:ascii="Calibri" w:hAnsi="Calibri" w:cs="Calibri"/>
              </w:rPr>
            </w:pPr>
            <w:r>
              <w:rPr>
                <w:rFonts w:ascii="Calibri" w:hAnsi="Calibri" w:cs="Calibri"/>
              </w:rPr>
              <w:t>X</w:t>
            </w:r>
          </w:p>
        </w:tc>
        <w:tc>
          <w:tcPr>
            <w:tcW w:w="1450" w:type="dxa"/>
            <w:vAlign w:val="center"/>
          </w:tcPr>
          <w:p w14:paraId="32AD8AD9" w14:textId="0F402275" w:rsidR="00F2491A" w:rsidRPr="00610F28" w:rsidRDefault="00F2491A" w:rsidP="00F2491A">
            <w:pPr>
              <w:rPr>
                <w:rFonts w:ascii="Calibri" w:hAnsi="Calibri" w:cs="Calibri"/>
              </w:rPr>
            </w:pPr>
          </w:p>
        </w:tc>
        <w:tc>
          <w:tcPr>
            <w:tcW w:w="1450" w:type="dxa"/>
            <w:vAlign w:val="center"/>
          </w:tcPr>
          <w:p w14:paraId="292FE0E0" w14:textId="77777777" w:rsidR="00F2491A" w:rsidRPr="00610F28" w:rsidRDefault="00F2491A" w:rsidP="00F2491A">
            <w:pPr>
              <w:rPr>
                <w:rFonts w:ascii="Calibri" w:hAnsi="Calibri" w:cs="Calibri"/>
              </w:rPr>
            </w:pPr>
          </w:p>
        </w:tc>
      </w:tr>
      <w:tr w:rsidR="00F2491A" w:rsidRPr="00610F28" w14:paraId="08BF6F24" w14:textId="7A31386C" w:rsidTr="00610F28">
        <w:tc>
          <w:tcPr>
            <w:tcW w:w="1065" w:type="dxa"/>
            <w:vAlign w:val="center"/>
          </w:tcPr>
          <w:p w14:paraId="18B15FCA" w14:textId="1D75137C" w:rsidR="00F2491A" w:rsidRPr="00610F28" w:rsidRDefault="00F2491A" w:rsidP="00F2491A">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F2491A" w:rsidRPr="00610F28" w:rsidRDefault="00F2491A" w:rsidP="00F2491A">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F2491A" w:rsidRPr="00610F28" w14:paraId="1B74B03D" w14:textId="737A76AA" w:rsidTr="00610F28">
        <w:tc>
          <w:tcPr>
            <w:tcW w:w="1065" w:type="dxa"/>
            <w:vAlign w:val="center"/>
          </w:tcPr>
          <w:p w14:paraId="6C92B8C4" w14:textId="77777777" w:rsidR="00F2491A" w:rsidRPr="00610F28" w:rsidRDefault="00F2491A" w:rsidP="00F2491A">
            <w:pPr>
              <w:rPr>
                <w:rFonts w:ascii="Calibri" w:hAnsi="Calibri" w:cs="Calibri"/>
              </w:rPr>
            </w:pPr>
          </w:p>
        </w:tc>
        <w:tc>
          <w:tcPr>
            <w:tcW w:w="9373" w:type="dxa"/>
            <w:gridSpan w:val="4"/>
            <w:vAlign w:val="center"/>
          </w:tcPr>
          <w:p w14:paraId="61954A6C" w14:textId="77777777" w:rsidR="00EE58B2" w:rsidRDefault="00F2491A" w:rsidP="00EE58B2">
            <w:pPr>
              <w:jc w:val="both"/>
              <w:rPr>
                <w:rFonts w:ascii="Calibri" w:hAnsi="Calibri" w:cs="Calibri"/>
              </w:rPr>
            </w:pPr>
            <w:r>
              <w:rPr>
                <w:rFonts w:ascii="Calibri" w:hAnsi="Calibri" w:cs="Calibri"/>
              </w:rPr>
              <w:t xml:space="preserve">The policy tool mentions labelling requirements of all batteries to be as per the standards set out by the Bureau of Indian Standards (BIS). </w:t>
            </w:r>
          </w:p>
          <w:p w14:paraId="3C2756D6" w14:textId="68495D83" w:rsidR="00F2491A" w:rsidRPr="00610F28" w:rsidRDefault="00F2491A" w:rsidP="001C6B64">
            <w:pPr>
              <w:jc w:val="both"/>
              <w:rPr>
                <w:rFonts w:ascii="Calibri" w:hAnsi="Calibri" w:cs="Calibri"/>
              </w:rPr>
            </w:pPr>
            <w:r>
              <w:rPr>
                <w:rFonts w:ascii="Calibri" w:hAnsi="Calibri" w:cs="Calibri"/>
              </w:rPr>
              <w:t>(</w:t>
            </w:r>
            <w:r w:rsidR="00EE58B2" w:rsidRPr="001C6B64">
              <w:rPr>
                <w:rFonts w:ascii="Calibri" w:hAnsi="Calibri" w:cs="Calibri"/>
                <w:i/>
                <w:iCs/>
              </w:rPr>
              <w:t>Please Note:</w:t>
            </w:r>
            <w:r w:rsidR="00EE58B2">
              <w:rPr>
                <w:rFonts w:ascii="Calibri" w:hAnsi="Calibri" w:cs="Calibri"/>
              </w:rPr>
              <w:t xml:space="preserve"> </w:t>
            </w:r>
            <w:r w:rsidRPr="001C6B64">
              <w:rPr>
                <w:rFonts w:ascii="Calibri" w:hAnsi="Calibri" w:cs="Calibri"/>
                <w:i/>
                <w:iCs/>
              </w:rPr>
              <w:t>There is not one link available for this as the standards depend on the type of battery. For example: separate norms exist for lead-acid batteries</w:t>
            </w:r>
            <w:r>
              <w:rPr>
                <w:rFonts w:ascii="Calibri" w:hAnsi="Calibri" w:cs="Calibri"/>
              </w:rPr>
              <w:t>).</w:t>
            </w:r>
          </w:p>
        </w:tc>
      </w:tr>
      <w:tr w:rsidR="00F2491A" w:rsidRPr="00610F28" w14:paraId="6532BE71" w14:textId="15F3705E" w:rsidTr="00610F28">
        <w:tc>
          <w:tcPr>
            <w:tcW w:w="1065" w:type="dxa"/>
            <w:vAlign w:val="center"/>
          </w:tcPr>
          <w:p w14:paraId="757DC278" w14:textId="2AD77B89" w:rsidR="00F2491A" w:rsidRPr="00610F28" w:rsidRDefault="00F2491A" w:rsidP="00F2491A">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F2491A" w:rsidRPr="00610F28" w:rsidRDefault="00F2491A" w:rsidP="00F2491A">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F2491A" w:rsidRPr="00610F28" w14:paraId="248C057F" w14:textId="68642CE3" w:rsidTr="00610F28">
        <w:trPr>
          <w:trHeight w:val="1020"/>
        </w:trPr>
        <w:tc>
          <w:tcPr>
            <w:tcW w:w="1065" w:type="dxa"/>
            <w:vAlign w:val="center"/>
          </w:tcPr>
          <w:p w14:paraId="2BACC542" w14:textId="77777777" w:rsidR="00F2491A" w:rsidRPr="00610F28" w:rsidRDefault="00F2491A" w:rsidP="00F2491A">
            <w:pPr>
              <w:rPr>
                <w:rFonts w:ascii="Calibri" w:hAnsi="Calibri" w:cs="Calibri"/>
              </w:rPr>
            </w:pPr>
          </w:p>
        </w:tc>
        <w:tc>
          <w:tcPr>
            <w:tcW w:w="9373" w:type="dxa"/>
            <w:gridSpan w:val="4"/>
            <w:vAlign w:val="center"/>
          </w:tcPr>
          <w:p w14:paraId="661AEEE8" w14:textId="130F959D" w:rsidR="00F2491A" w:rsidRPr="00610F28" w:rsidRDefault="00F2491A" w:rsidP="001C6B64">
            <w:pPr>
              <w:jc w:val="both"/>
              <w:rPr>
                <w:rFonts w:ascii="Calibri" w:hAnsi="Calibri" w:cs="Calibri"/>
              </w:rPr>
            </w:pPr>
            <w:r>
              <w:rPr>
                <w:rFonts w:ascii="Calibri" w:hAnsi="Calibri" w:cs="Calibri"/>
              </w:rPr>
              <w:t xml:space="preserve">While the policy tool doesn’t explicitly set ‘net zero targets’ for greenhouse gas emissions, its focus on Extended Producer Responsibility (EPR) and mandatory recycling and refurbishment targets for batteries is crucial for a circular economy. This approach reduces material demand, </w:t>
            </w:r>
            <w:r>
              <w:rPr>
                <w:rFonts w:ascii="Calibri" w:hAnsi="Calibri" w:cs="Calibri"/>
              </w:rPr>
              <w:lastRenderedPageBreak/>
              <w:t>conserves resources, and significantly reduces the environmental impact of traditional battery production and disposal, including greenhouse gas emissions from manufacturing and landfilling. The requirement for a minimum percentage of domestically recycled materials in new batteries (Rule 4(14)) promotes resource efficiency and reduces the battery industry’s carbon footprint. Thus, the policy indirectly but substantially contributes to broader environmental sustainability goals that align with global net zero efforts.</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DA7660" w14:textId="77777777" w:rsidR="00D01AE1" w:rsidRDefault="00D01AE1" w:rsidP="00874E39">
      <w:r>
        <w:separator/>
      </w:r>
    </w:p>
  </w:endnote>
  <w:endnote w:type="continuationSeparator" w:id="0">
    <w:p w14:paraId="296B86B7" w14:textId="77777777" w:rsidR="00D01AE1" w:rsidRDefault="00D01AE1" w:rsidP="00874E39">
      <w:r>
        <w:continuationSeparator/>
      </w:r>
    </w:p>
  </w:endnote>
  <w:endnote w:type="continuationNotice" w:id="1">
    <w:p w14:paraId="4F9377D9" w14:textId="77777777" w:rsidR="00D01AE1" w:rsidRDefault="00D01A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22F6B4" w14:textId="77777777" w:rsidR="00D01AE1" w:rsidRDefault="00D01AE1" w:rsidP="00874E39">
      <w:r>
        <w:separator/>
      </w:r>
    </w:p>
  </w:footnote>
  <w:footnote w:type="continuationSeparator" w:id="0">
    <w:p w14:paraId="4CC50106" w14:textId="77777777" w:rsidR="00D01AE1" w:rsidRDefault="00D01AE1" w:rsidP="00874E39">
      <w:r>
        <w:continuationSeparator/>
      </w:r>
    </w:p>
  </w:footnote>
  <w:footnote w:type="continuationNotice" w:id="1">
    <w:p w14:paraId="73B75ACD" w14:textId="77777777" w:rsidR="00D01AE1" w:rsidRDefault="00D01A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7768D1"/>
    <w:multiLevelType w:val="hybridMultilevel"/>
    <w:tmpl w:val="E2E4C53C"/>
    <w:lvl w:ilvl="0" w:tplc="6408F9E8">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E5A33A6"/>
    <w:multiLevelType w:val="hybridMultilevel"/>
    <w:tmpl w:val="7060813A"/>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6EDC340C"/>
    <w:multiLevelType w:val="hybridMultilevel"/>
    <w:tmpl w:val="14184EB0"/>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549808037">
    <w:abstractNumId w:val="24"/>
  </w:num>
  <w:num w:numId="50" w16cid:durableId="179584490">
    <w:abstractNumId w:val="47"/>
  </w:num>
  <w:num w:numId="51" w16cid:durableId="2000888833">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5C8"/>
    <w:rsid w:val="00046B6B"/>
    <w:rsid w:val="00047A6C"/>
    <w:rsid w:val="00047A9C"/>
    <w:rsid w:val="00050BDF"/>
    <w:rsid w:val="000526BB"/>
    <w:rsid w:val="000526FF"/>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DE3"/>
    <w:rsid w:val="00134550"/>
    <w:rsid w:val="00134681"/>
    <w:rsid w:val="00136046"/>
    <w:rsid w:val="00136F5B"/>
    <w:rsid w:val="00137257"/>
    <w:rsid w:val="00137BB2"/>
    <w:rsid w:val="00140A55"/>
    <w:rsid w:val="00140BD0"/>
    <w:rsid w:val="00141D8E"/>
    <w:rsid w:val="00142B76"/>
    <w:rsid w:val="00145138"/>
    <w:rsid w:val="001457F8"/>
    <w:rsid w:val="00146B77"/>
    <w:rsid w:val="001470A9"/>
    <w:rsid w:val="00150B6F"/>
    <w:rsid w:val="00150BA9"/>
    <w:rsid w:val="0015109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0A6"/>
    <w:rsid w:val="00180289"/>
    <w:rsid w:val="00182288"/>
    <w:rsid w:val="00182646"/>
    <w:rsid w:val="00183170"/>
    <w:rsid w:val="00184609"/>
    <w:rsid w:val="00185C8C"/>
    <w:rsid w:val="001904E6"/>
    <w:rsid w:val="00191059"/>
    <w:rsid w:val="001919D8"/>
    <w:rsid w:val="00192EC4"/>
    <w:rsid w:val="0019340B"/>
    <w:rsid w:val="001953A3"/>
    <w:rsid w:val="001956EB"/>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B64"/>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B65"/>
    <w:rsid w:val="00203B08"/>
    <w:rsid w:val="002040F6"/>
    <w:rsid w:val="00204C4D"/>
    <w:rsid w:val="0020589D"/>
    <w:rsid w:val="00205D5A"/>
    <w:rsid w:val="002069B2"/>
    <w:rsid w:val="00206E20"/>
    <w:rsid w:val="00210E0F"/>
    <w:rsid w:val="00211851"/>
    <w:rsid w:val="002119B6"/>
    <w:rsid w:val="002122F2"/>
    <w:rsid w:val="0021535C"/>
    <w:rsid w:val="0021729E"/>
    <w:rsid w:val="002172D1"/>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ED8"/>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8F3"/>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177A1"/>
    <w:rsid w:val="003218C6"/>
    <w:rsid w:val="00322783"/>
    <w:rsid w:val="00322BCF"/>
    <w:rsid w:val="003243E3"/>
    <w:rsid w:val="00324698"/>
    <w:rsid w:val="00324B20"/>
    <w:rsid w:val="00325558"/>
    <w:rsid w:val="00325771"/>
    <w:rsid w:val="00325E0E"/>
    <w:rsid w:val="003260C8"/>
    <w:rsid w:val="003310EC"/>
    <w:rsid w:val="0033147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2A8"/>
    <w:rsid w:val="003604F1"/>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7AD"/>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793"/>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18D"/>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004"/>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B0A"/>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7DB"/>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161"/>
    <w:rsid w:val="00654950"/>
    <w:rsid w:val="00655511"/>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DDF"/>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0A0"/>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9A5"/>
    <w:rsid w:val="00763C64"/>
    <w:rsid w:val="00764D1A"/>
    <w:rsid w:val="00764DB3"/>
    <w:rsid w:val="00765130"/>
    <w:rsid w:val="007653FB"/>
    <w:rsid w:val="0076706A"/>
    <w:rsid w:val="0077017A"/>
    <w:rsid w:val="007710D7"/>
    <w:rsid w:val="00773639"/>
    <w:rsid w:val="00774353"/>
    <w:rsid w:val="007747AF"/>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235"/>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CD0"/>
    <w:rsid w:val="00850F36"/>
    <w:rsid w:val="008510EC"/>
    <w:rsid w:val="00851476"/>
    <w:rsid w:val="00853253"/>
    <w:rsid w:val="008532DF"/>
    <w:rsid w:val="00854B57"/>
    <w:rsid w:val="00854CE2"/>
    <w:rsid w:val="0085591B"/>
    <w:rsid w:val="008569FA"/>
    <w:rsid w:val="008577E3"/>
    <w:rsid w:val="00860CA9"/>
    <w:rsid w:val="00861D43"/>
    <w:rsid w:val="00862AB1"/>
    <w:rsid w:val="00862D59"/>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B04"/>
    <w:rsid w:val="008812AC"/>
    <w:rsid w:val="008835E8"/>
    <w:rsid w:val="008840E5"/>
    <w:rsid w:val="008854D8"/>
    <w:rsid w:val="008857E8"/>
    <w:rsid w:val="00885CB2"/>
    <w:rsid w:val="00886005"/>
    <w:rsid w:val="0088676F"/>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840"/>
    <w:rsid w:val="008B2418"/>
    <w:rsid w:val="008B4536"/>
    <w:rsid w:val="008B5DC5"/>
    <w:rsid w:val="008B7E8C"/>
    <w:rsid w:val="008B7F82"/>
    <w:rsid w:val="008C0410"/>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D8D"/>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12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B6D"/>
    <w:rsid w:val="00963DC5"/>
    <w:rsid w:val="009649F8"/>
    <w:rsid w:val="00966139"/>
    <w:rsid w:val="00966160"/>
    <w:rsid w:val="009666A3"/>
    <w:rsid w:val="009669A5"/>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58D"/>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2B9"/>
    <w:rsid w:val="009A4BC9"/>
    <w:rsid w:val="009A50A0"/>
    <w:rsid w:val="009A5C4E"/>
    <w:rsid w:val="009A639D"/>
    <w:rsid w:val="009A66B8"/>
    <w:rsid w:val="009A6D57"/>
    <w:rsid w:val="009B2D9B"/>
    <w:rsid w:val="009B4468"/>
    <w:rsid w:val="009B6F1E"/>
    <w:rsid w:val="009B761C"/>
    <w:rsid w:val="009B7EAD"/>
    <w:rsid w:val="009C0270"/>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3F8"/>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6D8"/>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5DB"/>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CCC"/>
    <w:rsid w:val="00B12EFD"/>
    <w:rsid w:val="00B131A4"/>
    <w:rsid w:val="00B13CB3"/>
    <w:rsid w:val="00B14AD4"/>
    <w:rsid w:val="00B14C45"/>
    <w:rsid w:val="00B15489"/>
    <w:rsid w:val="00B16155"/>
    <w:rsid w:val="00B171FD"/>
    <w:rsid w:val="00B17588"/>
    <w:rsid w:val="00B17FBC"/>
    <w:rsid w:val="00B200F9"/>
    <w:rsid w:val="00B20BEB"/>
    <w:rsid w:val="00B20D58"/>
    <w:rsid w:val="00B22535"/>
    <w:rsid w:val="00B2441D"/>
    <w:rsid w:val="00B24E10"/>
    <w:rsid w:val="00B25E7E"/>
    <w:rsid w:val="00B2670C"/>
    <w:rsid w:val="00B310C1"/>
    <w:rsid w:val="00B32231"/>
    <w:rsid w:val="00B346F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145"/>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B51"/>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56B"/>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AE1"/>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DEA"/>
    <w:rsid w:val="00D405E6"/>
    <w:rsid w:val="00D407E2"/>
    <w:rsid w:val="00D43237"/>
    <w:rsid w:val="00D4323A"/>
    <w:rsid w:val="00D4358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324"/>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2939"/>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B44"/>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A0B"/>
    <w:rsid w:val="00EC42A1"/>
    <w:rsid w:val="00EC523C"/>
    <w:rsid w:val="00EC675B"/>
    <w:rsid w:val="00EC7098"/>
    <w:rsid w:val="00ED095F"/>
    <w:rsid w:val="00ED34A7"/>
    <w:rsid w:val="00ED6FE1"/>
    <w:rsid w:val="00ED77B0"/>
    <w:rsid w:val="00ED7E12"/>
    <w:rsid w:val="00EE04F1"/>
    <w:rsid w:val="00EE07D1"/>
    <w:rsid w:val="00EE23B3"/>
    <w:rsid w:val="00EE5475"/>
    <w:rsid w:val="00EE58B2"/>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91A"/>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935"/>
    <w:rsid w:val="00F549DD"/>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B93"/>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095400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3211734/https:/eprbattery.cpcb.gov.in/upload/adminDoc/Notice_EC%20Guidelines.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714113756/https:/cpcb.nic.in/openpdffile.php?id=UHVibGljYXRpb25GaWxlLzM1MjVfMTU2ODk4MTg2N19tZWRpYXBob3RvMTQyMTgucGR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111032/https:/cpcb.nic.in/uploads/hwmd/Battery-WasteManagementRules-2022.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3211719/https:/eprbattery.cpcb.gov.in/user/nationaldashboard/graphView"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13211734/https:/eprbattery.cpcb.gov.in/upload/adminDoc/SOP.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207144139/https:/cpcb.nic.in/openpdffile.php?id=UHVibGljYXRpb25GaWxlLzQ1NzhfMTcxMTAwMjkwN19tZWRpYXBob3RvNDc3OC5wZGY="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TotalTime>
  <Pages>112</Pages>
  <Words>22512</Words>
  <Characters>129896</Characters>
  <Application>Microsoft Office Word</Application>
  <DocSecurity>0</DocSecurity>
  <Lines>2597</Lines>
  <Paragraphs>935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52</cp:revision>
  <cp:lastPrinted>2025-07-13T17:02:00Z</cp:lastPrinted>
  <dcterms:created xsi:type="dcterms:W3CDTF">2025-06-23T10:33:00Z</dcterms:created>
  <dcterms:modified xsi:type="dcterms:W3CDTF">2025-07-24T16:27:00Z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